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9AA03F" w14:textId="4735F88A" w:rsidR="00911069" w:rsidRDefault="00911069" w:rsidP="00911069">
      <w:pPr>
        <w:spacing w:after="0"/>
        <w:jc w:val="center"/>
      </w:pPr>
      <w:r w:rsidRPr="00751C3A">
        <w:t xml:space="preserve">OBRAZLOŽENJE </w:t>
      </w:r>
      <w:r>
        <w:t xml:space="preserve"> </w:t>
      </w:r>
      <w:r w:rsidR="00931010">
        <w:t xml:space="preserve">I  </w:t>
      </w:r>
      <w:r>
        <w:t xml:space="preserve">IZMJENE I DOPUNE </w:t>
      </w:r>
      <w:r w:rsidRPr="00751C3A">
        <w:t xml:space="preserve">PRORAČUNA GRADA PAGA </w:t>
      </w:r>
    </w:p>
    <w:p w14:paraId="60028267" w14:textId="7DA9ABAB" w:rsidR="00911069" w:rsidRPr="00751C3A" w:rsidRDefault="00911069" w:rsidP="00911069">
      <w:pPr>
        <w:spacing w:after="0"/>
        <w:jc w:val="center"/>
      </w:pPr>
      <w:r w:rsidRPr="00751C3A">
        <w:t>ZA 202</w:t>
      </w:r>
      <w:r w:rsidR="00F4424E">
        <w:t>5</w:t>
      </w:r>
      <w:r w:rsidRPr="00751C3A">
        <w:t>. I PROJEKCIJA ZA 202</w:t>
      </w:r>
      <w:r w:rsidR="00F4424E">
        <w:t>6</w:t>
      </w:r>
      <w:r w:rsidRPr="00751C3A">
        <w:t>. I 202</w:t>
      </w:r>
      <w:r w:rsidR="00F4424E">
        <w:t>7</w:t>
      </w:r>
      <w:r w:rsidRPr="00751C3A">
        <w:t>. GODINU</w:t>
      </w:r>
    </w:p>
    <w:p w14:paraId="5B518A73" w14:textId="77777777" w:rsidR="00911069" w:rsidRPr="00751C3A" w:rsidRDefault="00911069" w:rsidP="00911069"/>
    <w:p w14:paraId="6239403B" w14:textId="338EC4F9" w:rsidR="00543F62" w:rsidRDefault="00AE0592">
      <w:r>
        <w:t>Ovom izmjenom i dopunom proračuna mijenja se Proračun Grada Paga za 202</w:t>
      </w:r>
      <w:r w:rsidR="00F4424E">
        <w:t>5</w:t>
      </w:r>
      <w:r>
        <w:t>. godinu.</w:t>
      </w:r>
    </w:p>
    <w:p w14:paraId="49620B33" w14:textId="77777777" w:rsidR="00911069" w:rsidRPr="009A5768" w:rsidRDefault="00911069" w:rsidP="00911069">
      <w:pPr>
        <w:jc w:val="both"/>
        <w:rPr>
          <w:color w:val="000000" w:themeColor="text1"/>
          <w:u w:val="single"/>
        </w:rPr>
      </w:pPr>
      <w:r w:rsidRPr="009A5768">
        <w:rPr>
          <w:color w:val="000000" w:themeColor="text1"/>
          <w:u w:val="single"/>
        </w:rPr>
        <w:t>OBRAZLOŽENJE</w:t>
      </w:r>
      <w:r w:rsidR="00B47A71" w:rsidRPr="009A5768">
        <w:rPr>
          <w:color w:val="000000" w:themeColor="text1"/>
          <w:u w:val="single"/>
        </w:rPr>
        <w:t xml:space="preserve"> IZMJENA I DOPUNA</w:t>
      </w:r>
      <w:r w:rsidRPr="009A5768">
        <w:rPr>
          <w:color w:val="000000" w:themeColor="text1"/>
          <w:u w:val="single"/>
        </w:rPr>
        <w:t xml:space="preserve"> OPĆEG DIJELA PRORAČUNA</w:t>
      </w:r>
    </w:p>
    <w:p w14:paraId="51546F5B" w14:textId="77777777" w:rsidR="00911069" w:rsidRPr="00751C3A" w:rsidRDefault="00911069" w:rsidP="00911069">
      <w:pPr>
        <w:jc w:val="both"/>
        <w:rPr>
          <w:i/>
          <w:color w:val="000000" w:themeColor="text1"/>
          <w:u w:val="single"/>
        </w:rPr>
      </w:pPr>
      <w:r w:rsidRPr="00751C3A">
        <w:rPr>
          <w:i/>
          <w:color w:val="000000" w:themeColor="text1"/>
          <w:u w:val="single"/>
        </w:rPr>
        <w:t>Prihodi i primici</w:t>
      </w:r>
    </w:p>
    <w:p w14:paraId="2F40C901" w14:textId="36051698" w:rsidR="00911069" w:rsidRPr="00F3744A" w:rsidRDefault="00911069" w:rsidP="00F3744A">
      <w:pPr>
        <w:pStyle w:val="Default"/>
        <w:jc w:val="both"/>
        <w:rPr>
          <w:rFonts w:ascii="Arial" w:hAnsi="Arial" w:cs="Arial"/>
          <w:sz w:val="18"/>
          <w:szCs w:val="18"/>
        </w:rPr>
      </w:pPr>
      <w:r>
        <w:t>Ovim izmjenom i dopunom proračuna u</w:t>
      </w:r>
      <w:r w:rsidRPr="00751C3A">
        <w:t>kupni prihodi i primici Proračuna za 202</w:t>
      </w:r>
      <w:r w:rsidR="004777F6">
        <w:t>5</w:t>
      </w:r>
      <w:r w:rsidRPr="00751C3A">
        <w:t>. godinu</w:t>
      </w:r>
      <w:r>
        <w:t xml:space="preserve"> </w:t>
      </w:r>
      <w:r w:rsidR="008E424C">
        <w:t>povećavaju</w:t>
      </w:r>
      <w:r>
        <w:t xml:space="preserve"> se za ukupni iznos od </w:t>
      </w:r>
      <w:r w:rsidR="008E424C" w:rsidRPr="008E424C">
        <w:t>832.055,00</w:t>
      </w:r>
      <w:r w:rsidR="008E424C" w:rsidRPr="008E424C">
        <w:rPr>
          <w:b/>
          <w:bCs/>
        </w:rPr>
        <w:t xml:space="preserve"> </w:t>
      </w:r>
      <w:r>
        <w:t xml:space="preserve">eura i to tako da se </w:t>
      </w:r>
      <w:r w:rsidR="008E424C">
        <w:t xml:space="preserve">povećavaju </w:t>
      </w:r>
      <w:r>
        <w:t xml:space="preserve"> planirani </w:t>
      </w:r>
      <w:r w:rsidR="004064CE">
        <w:t xml:space="preserve">ukupni </w:t>
      </w:r>
      <w:r>
        <w:t xml:space="preserve">prihodi poslovanja </w:t>
      </w:r>
      <w:r w:rsidR="004064CE">
        <w:t>za iznos</w:t>
      </w:r>
      <w:r w:rsidR="00B47A71">
        <w:t xml:space="preserve"> od </w:t>
      </w:r>
      <w:r w:rsidR="008E424C" w:rsidRPr="008E424C">
        <w:t>864.289,00</w:t>
      </w:r>
      <w:r w:rsidR="008E424C">
        <w:t xml:space="preserve"> </w:t>
      </w:r>
      <w:r w:rsidR="00B47A71">
        <w:rPr>
          <w:bCs/>
        </w:rPr>
        <w:t xml:space="preserve">eura na novi planirani iznos od </w:t>
      </w:r>
      <w:r w:rsidR="008E424C" w:rsidRPr="008E424C">
        <w:t>16.148.089,00</w:t>
      </w:r>
      <w:r w:rsidR="008E424C" w:rsidRPr="008E424C">
        <w:rPr>
          <w:b/>
          <w:bCs/>
        </w:rPr>
        <w:t xml:space="preserve"> </w:t>
      </w:r>
      <w:r w:rsidR="00B47A71" w:rsidRPr="00B47A71">
        <w:rPr>
          <w:bCs/>
        </w:rPr>
        <w:t>eura</w:t>
      </w:r>
      <w:r w:rsidR="004064CE">
        <w:rPr>
          <w:bCs/>
        </w:rPr>
        <w:t xml:space="preserve"> te </w:t>
      </w:r>
      <w:r w:rsidR="008E424C">
        <w:rPr>
          <w:bCs/>
        </w:rPr>
        <w:t xml:space="preserve">se umanjuju </w:t>
      </w:r>
      <w:r w:rsidR="006E55FF">
        <w:rPr>
          <w:bCs/>
        </w:rPr>
        <w:t>p</w:t>
      </w:r>
      <w:r w:rsidR="006E55FF" w:rsidRPr="006E55FF">
        <w:rPr>
          <w:bCs/>
        </w:rPr>
        <w:t>rihodi od prodaje nefinancijske imovine</w:t>
      </w:r>
      <w:r w:rsidR="006E55FF">
        <w:rPr>
          <w:bCs/>
        </w:rPr>
        <w:t xml:space="preserve"> za </w:t>
      </w:r>
      <w:r w:rsidR="00F3744A">
        <w:t xml:space="preserve">32.234,00 </w:t>
      </w:r>
      <w:r w:rsidR="004064CE">
        <w:t xml:space="preserve">eura na novi planirani iznos od </w:t>
      </w:r>
      <w:r w:rsidR="00F3744A" w:rsidRPr="00F3744A">
        <w:t>672.766,00</w:t>
      </w:r>
      <w:r w:rsidR="00F3744A" w:rsidRPr="00F3744A">
        <w:rPr>
          <w:rFonts w:ascii="Arial" w:hAnsi="Arial" w:cs="Arial"/>
          <w:b/>
          <w:bCs/>
          <w:sz w:val="18"/>
          <w:szCs w:val="18"/>
        </w:rPr>
        <w:t xml:space="preserve"> </w:t>
      </w:r>
      <w:r w:rsidR="004064CE">
        <w:t>eura</w:t>
      </w:r>
      <w:r w:rsidR="006E55FF">
        <w:t xml:space="preserve"> </w:t>
      </w:r>
      <w:r w:rsidR="00B47A71">
        <w:t>.</w:t>
      </w:r>
    </w:p>
    <w:p w14:paraId="636C081F" w14:textId="3725F39C" w:rsidR="00B47A71" w:rsidRDefault="00B47A71" w:rsidP="00B47A71">
      <w:pPr>
        <w:jc w:val="both"/>
      </w:pPr>
      <w:r>
        <w:t>S</w:t>
      </w:r>
      <w:r w:rsidRPr="00751C3A">
        <w:t>kupinu prihoda</w:t>
      </w:r>
      <w:r>
        <w:t xml:space="preserve"> poslovanja</w:t>
      </w:r>
      <w:r w:rsidRPr="00751C3A">
        <w:t xml:space="preserve"> čine Prihodi od poreza (61), Pomoći iz inozemstva i od subjekata unutar općeg proračuna (63), Prihodi od imovine (64), Prihodi od upravnih i administrativnih pristojbi, pristojbi po posebnim propisima i naknada (65), Prihodi od prodaje proizvoda i robe te pruženih usluga i prihodi od donacija (66) te Kazne, upravne mjere i ostali prihodi (68)</w:t>
      </w:r>
      <w:r w:rsidR="004064CE">
        <w:t xml:space="preserve">, dok skupinu </w:t>
      </w:r>
      <w:r w:rsidR="004064CE">
        <w:rPr>
          <w:bCs/>
        </w:rPr>
        <w:t>p</w:t>
      </w:r>
      <w:r w:rsidR="004064CE" w:rsidRPr="006E55FF">
        <w:rPr>
          <w:bCs/>
        </w:rPr>
        <w:t>rihod</w:t>
      </w:r>
      <w:r w:rsidR="004064CE">
        <w:rPr>
          <w:bCs/>
        </w:rPr>
        <w:t>a</w:t>
      </w:r>
      <w:r w:rsidR="004064CE" w:rsidRPr="006E55FF">
        <w:rPr>
          <w:bCs/>
        </w:rPr>
        <w:t xml:space="preserve"> od prodaje nefinancijske imovine</w:t>
      </w:r>
      <w:r w:rsidR="004064CE">
        <w:rPr>
          <w:bCs/>
        </w:rPr>
        <w:t xml:space="preserve"> čine </w:t>
      </w:r>
      <w:r w:rsidR="004064CE" w:rsidRPr="004064CE">
        <w:t>Prihodi od prodaje neproizvedene dugotrajne imovine</w:t>
      </w:r>
      <w:r w:rsidR="004064CE">
        <w:t xml:space="preserve"> (71) i </w:t>
      </w:r>
      <w:r w:rsidR="004064CE" w:rsidRPr="004064CE">
        <w:t>Prihodi od prodaje proizvedene dugotrajne imovine</w:t>
      </w:r>
      <w:r w:rsidR="004064CE">
        <w:t xml:space="preserve"> (72)</w:t>
      </w:r>
      <w:r>
        <w:t>.</w:t>
      </w:r>
    </w:p>
    <w:p w14:paraId="42808885" w14:textId="2FE0FC3F" w:rsidR="00B47A71" w:rsidRPr="004777F6" w:rsidRDefault="00B47A71" w:rsidP="000144F2">
      <w:pPr>
        <w:pStyle w:val="Default"/>
        <w:jc w:val="both"/>
        <w:rPr>
          <w:rFonts w:ascii="Arial" w:hAnsi="Arial" w:cs="Arial"/>
          <w:sz w:val="18"/>
          <w:szCs w:val="18"/>
        </w:rPr>
      </w:pPr>
      <w:r>
        <w:t xml:space="preserve">Kroz ovu izmjenu i dopunu Proračuna  </w:t>
      </w:r>
      <w:r w:rsidR="00F3744A">
        <w:t>povećavaju</w:t>
      </w:r>
      <w:r>
        <w:t xml:space="preserve"> se </w:t>
      </w:r>
      <w:r w:rsidRPr="00751C3A">
        <w:t xml:space="preserve"> </w:t>
      </w:r>
      <w:r w:rsidR="004064CE">
        <w:t xml:space="preserve">ukupni </w:t>
      </w:r>
      <w:r w:rsidRPr="00751C3A">
        <w:t>Prihodi od poreza (61)</w:t>
      </w:r>
      <w:r>
        <w:t xml:space="preserve"> za iznos od  </w:t>
      </w:r>
      <w:r w:rsidR="00F3744A" w:rsidRPr="00F3744A">
        <w:t xml:space="preserve">1.113.204,00 </w:t>
      </w:r>
      <w:r>
        <w:t xml:space="preserve">eura na novi planirani iznos od </w:t>
      </w:r>
      <w:r w:rsidR="00F3744A" w:rsidRPr="00F3744A">
        <w:t xml:space="preserve">8.759.269,00 </w:t>
      </w:r>
      <w:r w:rsidRPr="00B47A71">
        <w:t>eura</w:t>
      </w:r>
      <w:r w:rsidR="003B7BA0">
        <w:t xml:space="preserve"> kao rezultat </w:t>
      </w:r>
      <w:r w:rsidR="00F3744A">
        <w:t>evidentiranja nove stavke Poreza na nekretnine sa iznosom od 1.400.000,00 eura te umanjenjem ukinute vrste prihoda na stavci</w:t>
      </w:r>
      <w:r w:rsidR="003B7BA0">
        <w:rPr>
          <w:rFonts w:eastAsia="Times New Roman"/>
          <w:lang w:eastAsia="hr-HR"/>
        </w:rPr>
        <w:t xml:space="preserve"> Poreza na kuće za odmor za </w:t>
      </w:r>
      <w:r w:rsidR="00F3744A">
        <w:rPr>
          <w:rFonts w:eastAsia="Times New Roman"/>
          <w:lang w:eastAsia="hr-HR"/>
        </w:rPr>
        <w:t>988</w:t>
      </w:r>
      <w:r w:rsidR="00915E2B">
        <w:rPr>
          <w:rFonts w:eastAsia="Times New Roman"/>
          <w:lang w:eastAsia="hr-HR"/>
        </w:rPr>
        <w:t>.000</w:t>
      </w:r>
      <w:r w:rsidR="003B7BA0">
        <w:rPr>
          <w:rFonts w:eastAsia="Times New Roman"/>
          <w:lang w:eastAsia="hr-HR"/>
        </w:rPr>
        <w:t>,00 eura</w:t>
      </w:r>
      <w:r w:rsidR="00F3744A">
        <w:rPr>
          <w:rFonts w:eastAsia="Times New Roman"/>
          <w:lang w:eastAsia="hr-HR"/>
        </w:rPr>
        <w:t xml:space="preserve"> na novi planirani iznos od 390.000,00 eura</w:t>
      </w:r>
      <w:r w:rsidR="003B7BA0">
        <w:rPr>
          <w:rFonts w:eastAsia="Times New Roman"/>
          <w:lang w:eastAsia="hr-HR"/>
        </w:rPr>
        <w:t xml:space="preserve">, </w:t>
      </w:r>
      <w:r w:rsidR="00DF2BB3">
        <w:rPr>
          <w:rFonts w:eastAsia="Times New Roman"/>
          <w:lang w:eastAsia="hr-HR"/>
        </w:rPr>
        <w:t xml:space="preserve">te </w:t>
      </w:r>
      <w:r w:rsidR="0084648A">
        <w:rPr>
          <w:rFonts w:eastAsia="Times New Roman"/>
          <w:lang w:eastAsia="hr-HR"/>
        </w:rPr>
        <w:t>povećanja</w:t>
      </w:r>
      <w:r w:rsidR="00C43A43">
        <w:rPr>
          <w:rFonts w:eastAsia="Times New Roman"/>
          <w:lang w:eastAsia="hr-HR"/>
        </w:rPr>
        <w:t xml:space="preserve"> </w:t>
      </w:r>
      <w:r w:rsidR="00347386">
        <w:rPr>
          <w:rFonts w:eastAsia="Times New Roman"/>
          <w:lang w:eastAsia="hr-HR"/>
        </w:rPr>
        <w:t xml:space="preserve">Poreza na promet nekretnina za </w:t>
      </w:r>
      <w:r w:rsidR="0084648A">
        <w:rPr>
          <w:rFonts w:eastAsia="Arial"/>
        </w:rPr>
        <w:t>701.204</w:t>
      </w:r>
      <w:r w:rsidR="00347386" w:rsidRPr="00347386">
        <w:rPr>
          <w:rFonts w:eastAsia="Times New Roman"/>
          <w:lang w:eastAsia="hr-HR"/>
        </w:rPr>
        <w:t>,00</w:t>
      </w:r>
      <w:r w:rsidR="00347386">
        <w:rPr>
          <w:rFonts w:eastAsia="Times New Roman"/>
          <w:lang w:eastAsia="hr-HR"/>
        </w:rPr>
        <w:t xml:space="preserve"> eura</w:t>
      </w:r>
      <w:r w:rsidR="0084648A">
        <w:rPr>
          <w:rFonts w:eastAsia="Times New Roman"/>
          <w:lang w:eastAsia="hr-HR"/>
        </w:rPr>
        <w:t xml:space="preserve"> na novi iznos od 4.568.069,00 eura.</w:t>
      </w:r>
      <w:r w:rsidR="00DF2BB3">
        <w:rPr>
          <w:rFonts w:eastAsia="Times New Roman"/>
          <w:lang w:eastAsia="hr-HR"/>
        </w:rPr>
        <w:t xml:space="preserve"> </w:t>
      </w:r>
      <w:r w:rsidR="00DF2BB3" w:rsidRPr="00751C3A">
        <w:t>Pomoći iz inozemstva i od subjekata unutar općeg proračuna (63)</w:t>
      </w:r>
      <w:r w:rsidR="00DF2BB3">
        <w:t xml:space="preserve"> </w:t>
      </w:r>
      <w:r w:rsidR="0084648A">
        <w:t>povećava</w:t>
      </w:r>
      <w:r w:rsidR="00DF2BB3">
        <w:t xml:space="preserve"> se ukupno za </w:t>
      </w:r>
      <w:r w:rsidR="0084648A" w:rsidRPr="0084648A">
        <w:t>51.310,00</w:t>
      </w:r>
      <w:r w:rsidR="0084648A">
        <w:t xml:space="preserve"> </w:t>
      </w:r>
      <w:r w:rsidR="00DF2BB3">
        <w:t xml:space="preserve">eura kao rezultat </w:t>
      </w:r>
      <w:r w:rsidR="0084648A">
        <w:t>povećanja</w:t>
      </w:r>
      <w:r w:rsidR="0058648D">
        <w:t xml:space="preserve"> kapitalnih pomoći za financiranje programa Grada za </w:t>
      </w:r>
      <w:r w:rsidR="0084648A">
        <w:t>53.200</w:t>
      </w:r>
      <w:r w:rsidR="0058648D">
        <w:t xml:space="preserve">,00 eura, te </w:t>
      </w:r>
      <w:r w:rsidR="0084648A">
        <w:t>umanjenja</w:t>
      </w:r>
      <w:r w:rsidR="004F6633">
        <w:t xml:space="preserve"> tekuće pomoći izravnanja za decentralizirane funkcije vatrogastva za </w:t>
      </w:r>
      <w:r w:rsidR="0084648A">
        <w:rPr>
          <w:rFonts w:eastAsia="Arial"/>
        </w:rPr>
        <w:t>1.890</w:t>
      </w:r>
      <w:r w:rsidR="00D11752">
        <w:t>,00</w:t>
      </w:r>
      <w:r w:rsidR="004F6633">
        <w:t xml:space="preserve"> eura.</w:t>
      </w:r>
      <w:r w:rsidR="00347386">
        <w:rPr>
          <w:rFonts w:eastAsia="Times New Roman"/>
          <w:lang w:eastAsia="hr-HR"/>
        </w:rPr>
        <w:t xml:space="preserve"> </w:t>
      </w:r>
      <w:r w:rsidR="00347386" w:rsidRPr="00751C3A">
        <w:t>Prihodi od imovine (64)</w:t>
      </w:r>
      <w:r w:rsidR="00347386">
        <w:t xml:space="preserve"> </w:t>
      </w:r>
      <w:r w:rsidR="00375B3C">
        <w:t xml:space="preserve">povećavaju se za </w:t>
      </w:r>
      <w:r w:rsidR="0084648A">
        <w:t>150</w:t>
      </w:r>
      <w:r w:rsidR="005F2F30">
        <w:t>,00</w:t>
      </w:r>
      <w:r w:rsidR="00375B3C">
        <w:t xml:space="preserve"> eura na novi planirani iznos od </w:t>
      </w:r>
      <w:r w:rsidR="0084648A" w:rsidRPr="0084648A">
        <w:t xml:space="preserve">631.270,00 </w:t>
      </w:r>
      <w:r w:rsidR="00375B3C">
        <w:t xml:space="preserve">eura </w:t>
      </w:r>
      <w:r w:rsidR="005825B7">
        <w:t xml:space="preserve">kao rezultat odnosa </w:t>
      </w:r>
      <w:r w:rsidR="000144F2">
        <w:t>povećanja</w:t>
      </w:r>
      <w:r w:rsidR="005825B7">
        <w:t xml:space="preserve"> prihoda od kamata</w:t>
      </w:r>
      <w:r w:rsidR="000144F2">
        <w:t xml:space="preserve"> na depozite po viđenju.</w:t>
      </w:r>
      <w:r w:rsidR="005825B7">
        <w:t xml:space="preserve"> </w:t>
      </w:r>
      <w:r w:rsidR="00375B3C" w:rsidRPr="00751C3A">
        <w:t>Prihodi od upravnih i administrativnih pristojbi, pristojbi po posebnim propisima i naknada (65)</w:t>
      </w:r>
      <w:r w:rsidR="00375B3C">
        <w:t xml:space="preserve"> </w:t>
      </w:r>
      <w:r w:rsidR="00333584">
        <w:t>umanjuju</w:t>
      </w:r>
      <w:r w:rsidR="005F2F30">
        <w:t xml:space="preserve"> se</w:t>
      </w:r>
      <w:r w:rsidR="00375B3C">
        <w:t xml:space="preserve"> za </w:t>
      </w:r>
      <w:r w:rsidR="000144F2">
        <w:t xml:space="preserve">311.245,00 </w:t>
      </w:r>
      <w:r w:rsidR="00375B3C">
        <w:t xml:space="preserve">eura na novi planirani iznos od </w:t>
      </w:r>
      <w:r w:rsidR="000144F2" w:rsidRPr="000144F2">
        <w:t>3.607.670,00</w:t>
      </w:r>
      <w:r w:rsidR="000144F2" w:rsidRPr="000144F2">
        <w:rPr>
          <w:rFonts w:ascii="Arial" w:hAnsi="Arial" w:cs="Arial"/>
          <w:sz w:val="18"/>
          <w:szCs w:val="18"/>
        </w:rPr>
        <w:t xml:space="preserve"> </w:t>
      </w:r>
      <w:r w:rsidR="000144F2">
        <w:t xml:space="preserve"> </w:t>
      </w:r>
      <w:r w:rsidR="00375B3C" w:rsidRPr="00375B3C">
        <w:t>eura</w:t>
      </w:r>
      <w:r w:rsidR="00375B3C">
        <w:t xml:space="preserve"> </w:t>
      </w:r>
      <w:r w:rsidR="00ED6B78">
        <w:t>kao rezultat</w:t>
      </w:r>
      <w:r w:rsidR="00333584">
        <w:t xml:space="preserve"> </w:t>
      </w:r>
      <w:r w:rsidR="004777F6">
        <w:t xml:space="preserve">umanjenja prihoda tekućih prihoda od </w:t>
      </w:r>
      <w:r w:rsidR="00333584">
        <w:t xml:space="preserve">komunalnog doprinosa za </w:t>
      </w:r>
      <w:r w:rsidR="004777F6">
        <w:t>202.900</w:t>
      </w:r>
      <w:r w:rsidR="00333584">
        <w:t>,00 eura</w:t>
      </w:r>
      <w:r w:rsidR="004777F6">
        <w:t xml:space="preserve"> i komunalne naknade za 108.345,00 eura kao usklađenje temeljem prenesenih sredstava iz prethodne godine iz ovih izvora financiranja.</w:t>
      </w:r>
      <w:r w:rsidR="00333584">
        <w:t xml:space="preserve"> </w:t>
      </w:r>
      <w:r w:rsidR="00F43E98" w:rsidRPr="00751C3A">
        <w:t>Prihodi od prodaje proizvoda i robe te pruženih usluga i prihodi od donacija (66)</w:t>
      </w:r>
      <w:r w:rsidR="00F43E98">
        <w:t xml:space="preserve"> povećavaju se ukupno za </w:t>
      </w:r>
      <w:r w:rsidR="004777F6" w:rsidRPr="004777F6">
        <w:t>10.870,00</w:t>
      </w:r>
      <w:r w:rsidR="004777F6" w:rsidRPr="004777F6">
        <w:rPr>
          <w:rFonts w:ascii="Arial" w:hAnsi="Arial" w:cs="Arial"/>
          <w:sz w:val="18"/>
          <w:szCs w:val="18"/>
        </w:rPr>
        <w:t xml:space="preserve"> </w:t>
      </w:r>
      <w:r w:rsidR="00F43E98">
        <w:t xml:space="preserve">eura na novi planirani iznos od </w:t>
      </w:r>
      <w:r w:rsidR="004777F6" w:rsidRPr="004777F6">
        <w:t>116.350,00</w:t>
      </w:r>
      <w:r w:rsidR="004777F6" w:rsidRPr="004777F6">
        <w:rPr>
          <w:rFonts w:ascii="Arial" w:hAnsi="Arial" w:cs="Arial"/>
          <w:sz w:val="18"/>
          <w:szCs w:val="18"/>
        </w:rPr>
        <w:t xml:space="preserve"> </w:t>
      </w:r>
      <w:r w:rsidR="00F43E98">
        <w:t xml:space="preserve">eura kroz povećanje iznosa </w:t>
      </w:r>
      <w:r w:rsidR="004777F6">
        <w:t xml:space="preserve">kapitalnih </w:t>
      </w:r>
      <w:r w:rsidR="00F43E98">
        <w:t xml:space="preserve">donacija za </w:t>
      </w:r>
      <w:r w:rsidR="00333584">
        <w:t xml:space="preserve">projekt </w:t>
      </w:r>
      <w:r w:rsidR="00A76613">
        <w:t>Potencijali zajednice  od strane Nacionalne zaklade za razvoj civilnog društva</w:t>
      </w:r>
      <w:r w:rsidR="004777F6">
        <w:t xml:space="preserve"> te korekcije tekućih donacija</w:t>
      </w:r>
      <w:r w:rsidR="00A76613">
        <w:t xml:space="preserve"> </w:t>
      </w:r>
      <w:r w:rsidR="00F43E98">
        <w:t xml:space="preserve">. </w:t>
      </w:r>
      <w:r w:rsidR="00B779C4" w:rsidRPr="004064CE">
        <w:t>Prihodi od prodaje neproizvedene dugotrajne imovine</w:t>
      </w:r>
      <w:r w:rsidR="00B779C4">
        <w:t xml:space="preserve"> (71) </w:t>
      </w:r>
      <w:r w:rsidR="00A76613">
        <w:t>umanjuju</w:t>
      </w:r>
      <w:r w:rsidR="00B779C4">
        <w:t xml:space="preserve"> se za </w:t>
      </w:r>
      <w:r w:rsidR="004777F6">
        <w:t xml:space="preserve">32.234,00 </w:t>
      </w:r>
      <w:r w:rsidR="00B779C4">
        <w:t xml:space="preserve">eura na novi planirani iznos od </w:t>
      </w:r>
      <w:r w:rsidR="004777F6" w:rsidRPr="004777F6">
        <w:t>672.266,00</w:t>
      </w:r>
      <w:r w:rsidR="004777F6" w:rsidRPr="004777F6">
        <w:rPr>
          <w:rFonts w:ascii="Arial" w:hAnsi="Arial" w:cs="Arial"/>
          <w:sz w:val="18"/>
          <w:szCs w:val="18"/>
        </w:rPr>
        <w:t xml:space="preserve"> </w:t>
      </w:r>
      <w:r w:rsidR="00B779C4">
        <w:t>eura</w:t>
      </w:r>
      <w:r w:rsidR="007628BC">
        <w:t xml:space="preserve"> te</w:t>
      </w:r>
      <w:r w:rsidR="00A76613">
        <w:t xml:space="preserve"> </w:t>
      </w:r>
      <w:r w:rsidR="00B779C4">
        <w:t>koji se o</w:t>
      </w:r>
      <w:r w:rsidR="00D11752">
        <w:t>dnosi na pri</w:t>
      </w:r>
      <w:r w:rsidR="00B779C4">
        <w:t>hod od prodaje nekretnina u vlasništvu Grada</w:t>
      </w:r>
      <w:r w:rsidR="004777F6">
        <w:t>, a korekcija je izvršena u odnosu na prenesena sredstva iz prethodne godine iz istog izvora financiranja</w:t>
      </w:r>
      <w:r w:rsidR="00B779C4">
        <w:t xml:space="preserve">. </w:t>
      </w:r>
    </w:p>
    <w:p w14:paraId="58022870" w14:textId="77777777" w:rsidR="00375B3C" w:rsidRDefault="00375B3C" w:rsidP="00B47A71">
      <w:pPr>
        <w:jc w:val="both"/>
      </w:pPr>
    </w:p>
    <w:p w14:paraId="33BCB883" w14:textId="4B9815AE" w:rsidR="006D5B86" w:rsidRDefault="00450B6E" w:rsidP="00B47A71">
      <w:pPr>
        <w:jc w:val="both"/>
      </w:pPr>
      <w:r w:rsidRPr="00450B6E">
        <w:t xml:space="preserve">Primici od zaduživanja </w:t>
      </w:r>
      <w:r>
        <w:t xml:space="preserve">ovom izmjenom i dopunom Proračuna ostaju nepromijenjeni na iznosu od </w:t>
      </w:r>
      <w:r w:rsidRPr="00450B6E">
        <w:t xml:space="preserve">1.711.200,00 </w:t>
      </w:r>
      <w:r>
        <w:t>eura.</w:t>
      </w:r>
    </w:p>
    <w:p w14:paraId="7F0324BD" w14:textId="77777777" w:rsidR="006D5B86" w:rsidRDefault="006D5B86" w:rsidP="00B47A71">
      <w:pPr>
        <w:jc w:val="both"/>
      </w:pPr>
    </w:p>
    <w:p w14:paraId="61B8B3A5" w14:textId="77777777" w:rsidR="004777F6" w:rsidRDefault="004777F6" w:rsidP="00B47A71">
      <w:pPr>
        <w:jc w:val="both"/>
      </w:pPr>
    </w:p>
    <w:p w14:paraId="2FF9AEE1" w14:textId="77777777" w:rsidR="004777F6" w:rsidRDefault="004777F6" w:rsidP="00B47A71">
      <w:pPr>
        <w:jc w:val="both"/>
      </w:pPr>
    </w:p>
    <w:p w14:paraId="65D62D86" w14:textId="77777777" w:rsidR="00B42F62" w:rsidRPr="00751C3A" w:rsidRDefault="00B42F62" w:rsidP="00B42F62">
      <w:pPr>
        <w:jc w:val="both"/>
        <w:rPr>
          <w:i/>
          <w:u w:val="single"/>
        </w:rPr>
      </w:pPr>
      <w:r w:rsidRPr="00751C3A">
        <w:rPr>
          <w:i/>
          <w:u w:val="single"/>
        </w:rPr>
        <w:t>Rashodi i izdaci</w:t>
      </w:r>
    </w:p>
    <w:p w14:paraId="649D498A" w14:textId="4AE8EE2F" w:rsidR="00B47A71" w:rsidRPr="007628BC" w:rsidRDefault="00B42F62" w:rsidP="007628BC">
      <w:pPr>
        <w:pStyle w:val="Default"/>
        <w:jc w:val="both"/>
        <w:rPr>
          <w:rFonts w:ascii="Arial" w:hAnsi="Arial" w:cs="Arial"/>
          <w:sz w:val="18"/>
          <w:szCs w:val="18"/>
        </w:rPr>
      </w:pPr>
      <w:r>
        <w:t>Ovim izmjenom i dopunom proračuna u</w:t>
      </w:r>
      <w:r w:rsidRPr="00751C3A">
        <w:t xml:space="preserve">kupni </w:t>
      </w:r>
      <w:r>
        <w:t xml:space="preserve">rashodi </w:t>
      </w:r>
      <w:r w:rsidRPr="00751C3A">
        <w:t>Proračuna za 202</w:t>
      </w:r>
      <w:r w:rsidR="004777F6">
        <w:t>5</w:t>
      </w:r>
      <w:r w:rsidRPr="00751C3A">
        <w:t>. godinu</w:t>
      </w:r>
      <w:r>
        <w:t xml:space="preserve"> </w:t>
      </w:r>
      <w:r w:rsidR="007628BC">
        <w:t>povećavaju</w:t>
      </w:r>
      <w:r>
        <w:t xml:space="preserve"> se za ukupni iznos od </w:t>
      </w:r>
      <w:r w:rsidR="007628BC" w:rsidRPr="007628BC">
        <w:t>1.153.726,00</w:t>
      </w:r>
      <w:r w:rsidR="007628BC" w:rsidRPr="007628BC">
        <w:rPr>
          <w:rFonts w:ascii="Arial" w:hAnsi="Arial" w:cs="Arial"/>
          <w:b/>
          <w:bCs/>
          <w:sz w:val="18"/>
          <w:szCs w:val="18"/>
        </w:rPr>
        <w:t xml:space="preserve"> </w:t>
      </w:r>
      <w:r>
        <w:t xml:space="preserve">eura na novi planirani iznos od </w:t>
      </w:r>
      <w:r w:rsidR="007628BC" w:rsidRPr="007628BC">
        <w:t>16.205.726,00</w:t>
      </w:r>
      <w:r w:rsidR="007628BC" w:rsidRPr="007628BC">
        <w:rPr>
          <w:rFonts w:ascii="Arial" w:hAnsi="Arial" w:cs="Arial"/>
          <w:b/>
          <w:bCs/>
          <w:sz w:val="18"/>
          <w:szCs w:val="18"/>
        </w:rPr>
        <w:t xml:space="preserve"> </w:t>
      </w:r>
      <w:r w:rsidRPr="00B526D9">
        <w:t>eura</w:t>
      </w:r>
      <w:r>
        <w:rPr>
          <w:bCs/>
        </w:rPr>
        <w:t xml:space="preserve"> i to </w:t>
      </w:r>
      <w:r w:rsidR="007628BC">
        <w:rPr>
          <w:bCs/>
        </w:rPr>
        <w:t>povećanjem</w:t>
      </w:r>
      <w:r>
        <w:rPr>
          <w:bCs/>
        </w:rPr>
        <w:t xml:space="preserve"> Rashoda poslovanja za </w:t>
      </w:r>
      <w:r w:rsidR="007628BC">
        <w:t>262.000</w:t>
      </w:r>
      <w:r w:rsidR="002F1081" w:rsidRPr="002F1081">
        <w:rPr>
          <w:bCs/>
        </w:rPr>
        <w:t>,00</w:t>
      </w:r>
      <w:r w:rsidRPr="00B42F62">
        <w:rPr>
          <w:bCs/>
        </w:rPr>
        <w:t xml:space="preserve"> eura</w:t>
      </w:r>
      <w:r>
        <w:rPr>
          <w:bCs/>
        </w:rPr>
        <w:t xml:space="preserve"> na novi planirani iznos od </w:t>
      </w:r>
      <w:r w:rsidR="007628BC" w:rsidRPr="007628BC">
        <w:t>9.873.400,00</w:t>
      </w:r>
      <w:r w:rsidR="007628BC" w:rsidRPr="007628B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bCs/>
        </w:rPr>
        <w:t xml:space="preserve">eura te </w:t>
      </w:r>
      <w:r w:rsidR="00BF3474">
        <w:rPr>
          <w:bCs/>
        </w:rPr>
        <w:t>povećanjem</w:t>
      </w:r>
      <w:r w:rsidR="00F6095E">
        <w:rPr>
          <w:bCs/>
        </w:rPr>
        <w:t xml:space="preserve"> </w:t>
      </w:r>
      <w:r w:rsidRPr="00B42F62">
        <w:rPr>
          <w:bCs/>
        </w:rPr>
        <w:t>Rashoda za nabavu nefinancijske imovine</w:t>
      </w:r>
      <w:r>
        <w:rPr>
          <w:bCs/>
        </w:rPr>
        <w:t xml:space="preserve"> za </w:t>
      </w:r>
      <w:r w:rsidR="00BF3474" w:rsidRPr="00BF3474">
        <w:t>891.726,00</w:t>
      </w:r>
      <w:r w:rsidR="00BF3474" w:rsidRPr="00BF347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bCs/>
        </w:rPr>
        <w:t xml:space="preserve">eura na novi planirani iznos od </w:t>
      </w:r>
      <w:r w:rsidR="00BF3474" w:rsidRPr="00BF3474">
        <w:t>6.332.326,00</w:t>
      </w:r>
      <w:r w:rsidR="00BF3474" w:rsidRPr="00BF347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bCs/>
        </w:rPr>
        <w:t>eura.</w:t>
      </w:r>
    </w:p>
    <w:p w14:paraId="011B2780" w14:textId="609C5296" w:rsidR="00847369" w:rsidRDefault="006F1B15" w:rsidP="006F1B15">
      <w:pPr>
        <w:jc w:val="both"/>
      </w:pPr>
      <w:r>
        <w:t>U</w:t>
      </w:r>
      <w:r w:rsidR="00847369">
        <w:t xml:space="preserve"> skupinu R</w:t>
      </w:r>
      <w:r w:rsidRPr="00751C3A">
        <w:t>ashoda</w:t>
      </w:r>
      <w:r>
        <w:t xml:space="preserve"> poslovanja</w:t>
      </w:r>
      <w:r w:rsidRPr="00751C3A">
        <w:t xml:space="preserve"> spadaju Rashodi za zaposlene (31), Materijalni rashodi (32), Financijski rashodi (34), Subvencije (35),</w:t>
      </w:r>
      <w:r w:rsidR="00234EB5">
        <w:t xml:space="preserve"> </w:t>
      </w:r>
      <w:r w:rsidR="00234EB5" w:rsidRPr="00234EB5">
        <w:t>Pomoći dane u inozemstvo i unutar općeg proračuna</w:t>
      </w:r>
      <w:r w:rsidRPr="00751C3A">
        <w:t xml:space="preserve"> </w:t>
      </w:r>
      <w:r w:rsidR="00234EB5">
        <w:t xml:space="preserve">(36), </w:t>
      </w:r>
      <w:r w:rsidRPr="00751C3A">
        <w:t xml:space="preserve">Naknade građanima i kućanstvima na temelju osiguranja i druge naknade (37) te </w:t>
      </w:r>
      <w:r w:rsidR="00B34D58" w:rsidRPr="00B34D58">
        <w:t xml:space="preserve">Rashodi za donacije, kazne, naknade šteta i kapitalne pomoći </w:t>
      </w:r>
      <w:r w:rsidRPr="00751C3A">
        <w:t>(38).</w:t>
      </w:r>
    </w:p>
    <w:p w14:paraId="09C7105A" w14:textId="77777777" w:rsidR="00847369" w:rsidRPr="00751C3A" w:rsidRDefault="00847369" w:rsidP="00847369">
      <w:pPr>
        <w:jc w:val="both"/>
      </w:pPr>
      <w:r w:rsidRPr="00751C3A">
        <w:t xml:space="preserve">U </w:t>
      </w:r>
      <w:r>
        <w:t xml:space="preserve">skupinu </w:t>
      </w:r>
      <w:r w:rsidRPr="00B42F62">
        <w:rPr>
          <w:bCs/>
        </w:rPr>
        <w:t>Rashoda za nabavu nefinancijske imovine</w:t>
      </w:r>
      <w:r w:rsidRPr="00751C3A">
        <w:t xml:space="preserve"> spadaju Rashodi za nabavu neproizvedene dugotrajne imovine (41), Rashodi za nabavu proizvedene dugotrajne imovine (42), Rashodi za nabavu plemenitih metala i ostalih pohranjenih vrijednosti (43), Rashodi za dodatna ulaganja na nefinancijskoj imovini (45).</w:t>
      </w:r>
    </w:p>
    <w:p w14:paraId="34CAFEAD" w14:textId="7A8F6B15" w:rsidR="00672ED3" w:rsidRPr="00BF3474" w:rsidRDefault="006F1B15" w:rsidP="00BF3474">
      <w:pPr>
        <w:pStyle w:val="Default"/>
        <w:jc w:val="both"/>
        <w:rPr>
          <w:rFonts w:ascii="Arial" w:hAnsi="Arial" w:cs="Arial"/>
          <w:sz w:val="18"/>
          <w:szCs w:val="18"/>
        </w:rPr>
      </w:pPr>
      <w:r>
        <w:t xml:space="preserve">Ovom izmjenom </w:t>
      </w:r>
      <w:r w:rsidR="00847369">
        <w:t>i dopunom Proračuna</w:t>
      </w:r>
      <w:r w:rsidR="00845700">
        <w:t xml:space="preserve"> </w:t>
      </w:r>
      <w:r w:rsidR="00847369">
        <w:t>u skupini R</w:t>
      </w:r>
      <w:r w:rsidR="00847369" w:rsidRPr="00751C3A">
        <w:t>ashoda</w:t>
      </w:r>
      <w:r w:rsidR="00847369">
        <w:t xml:space="preserve"> poslovanja</w:t>
      </w:r>
      <w:r w:rsidR="00845700">
        <w:t xml:space="preserve"> </w:t>
      </w:r>
      <w:r w:rsidR="00B526D9">
        <w:t>povećavaju</w:t>
      </w:r>
      <w:r w:rsidR="00845700">
        <w:t xml:space="preserve"> se planirani iznos rashoda za zaposlene za </w:t>
      </w:r>
      <w:r w:rsidR="00BF3474" w:rsidRPr="00BF3474">
        <w:t>106.300,00</w:t>
      </w:r>
      <w:r w:rsidR="00BF3474" w:rsidRPr="00BF3474">
        <w:rPr>
          <w:rFonts w:ascii="Arial" w:hAnsi="Arial" w:cs="Arial"/>
          <w:sz w:val="18"/>
          <w:szCs w:val="18"/>
        </w:rPr>
        <w:t xml:space="preserve"> </w:t>
      </w:r>
      <w:r w:rsidR="00845700">
        <w:t xml:space="preserve">eura na novi planirani iznos od </w:t>
      </w:r>
      <w:r w:rsidR="00BF3474" w:rsidRPr="00BF3474">
        <w:t>3.247.490,00</w:t>
      </w:r>
      <w:r w:rsidR="00BF3474" w:rsidRPr="00BF3474">
        <w:rPr>
          <w:rFonts w:ascii="Arial" w:hAnsi="Arial" w:cs="Arial"/>
          <w:sz w:val="18"/>
          <w:szCs w:val="18"/>
        </w:rPr>
        <w:t xml:space="preserve"> </w:t>
      </w:r>
      <w:r w:rsidR="00845700">
        <w:t>eura,</w:t>
      </w:r>
      <w:r w:rsidR="00847369">
        <w:t xml:space="preserve">  </w:t>
      </w:r>
      <w:r w:rsidR="00845700">
        <w:t xml:space="preserve"> </w:t>
      </w:r>
      <w:r w:rsidR="00847369">
        <w:t>planirani  materijalni rashodi</w:t>
      </w:r>
      <w:r w:rsidR="00845700">
        <w:t xml:space="preserve"> </w:t>
      </w:r>
      <w:r w:rsidR="00BF3474">
        <w:t>povećavaju</w:t>
      </w:r>
      <w:r w:rsidR="00845700">
        <w:t xml:space="preserve"> se </w:t>
      </w:r>
      <w:r w:rsidR="00847369">
        <w:t xml:space="preserve"> za </w:t>
      </w:r>
      <w:r w:rsidR="00BF3474" w:rsidRPr="00BF3474">
        <w:t>100.700,00</w:t>
      </w:r>
      <w:r w:rsidR="00BF3474" w:rsidRPr="00BF3474">
        <w:rPr>
          <w:rFonts w:ascii="Arial" w:hAnsi="Arial" w:cs="Arial"/>
          <w:sz w:val="18"/>
          <w:szCs w:val="18"/>
        </w:rPr>
        <w:t xml:space="preserve"> </w:t>
      </w:r>
      <w:r w:rsidR="00847369">
        <w:t>eura</w:t>
      </w:r>
      <w:r w:rsidR="00234EB5">
        <w:t xml:space="preserve"> na novi iznos od </w:t>
      </w:r>
      <w:r w:rsidR="00BF3474" w:rsidRPr="00BF3474">
        <w:t>4.680.580,00</w:t>
      </w:r>
      <w:r w:rsidR="00BF3474" w:rsidRPr="00BF3474">
        <w:rPr>
          <w:rFonts w:ascii="Arial" w:hAnsi="Arial" w:cs="Arial"/>
          <w:sz w:val="18"/>
          <w:szCs w:val="18"/>
        </w:rPr>
        <w:t xml:space="preserve"> </w:t>
      </w:r>
      <w:r w:rsidR="00234EB5">
        <w:t>eura</w:t>
      </w:r>
      <w:r w:rsidR="00672ED3">
        <w:t xml:space="preserve">,  </w:t>
      </w:r>
      <w:r w:rsidR="00004291">
        <w:t xml:space="preserve">skupina </w:t>
      </w:r>
      <w:r w:rsidR="00B34D58" w:rsidRPr="00B34D58">
        <w:t>Rashodi za donacije, kazne, naknade šteta i kapitalne pomoći</w:t>
      </w:r>
      <w:r w:rsidR="00B34D58">
        <w:t xml:space="preserve"> povećavaju</w:t>
      </w:r>
      <w:r w:rsidR="00672ED3">
        <w:t xml:space="preserve"> se za </w:t>
      </w:r>
      <w:r w:rsidR="00B34D58">
        <w:t>55.000</w:t>
      </w:r>
      <w:r w:rsidR="00672ED3" w:rsidRPr="00672ED3">
        <w:t>,00</w:t>
      </w:r>
      <w:r w:rsidR="00672ED3">
        <w:t xml:space="preserve"> na novi iznos od </w:t>
      </w:r>
      <w:r w:rsidR="00B34D58">
        <w:t>592.250</w:t>
      </w:r>
      <w:r w:rsidR="00672ED3" w:rsidRPr="00672ED3">
        <w:t>,00</w:t>
      </w:r>
      <w:r w:rsidR="00672ED3">
        <w:t xml:space="preserve"> eura </w:t>
      </w:r>
      <w:r w:rsidR="00234EB5">
        <w:t xml:space="preserve"> </w:t>
      </w:r>
      <w:r w:rsidR="00847369">
        <w:t xml:space="preserve"> te u skupini </w:t>
      </w:r>
      <w:r w:rsidR="00847369" w:rsidRPr="00B42F62">
        <w:rPr>
          <w:bCs/>
        </w:rPr>
        <w:t>Rashoda za nabavu nefinancijske imovine</w:t>
      </w:r>
      <w:r w:rsidR="00847369">
        <w:rPr>
          <w:bCs/>
        </w:rPr>
        <w:t xml:space="preserve"> planirani</w:t>
      </w:r>
      <w:r w:rsidR="00422465">
        <w:t xml:space="preserve"> </w:t>
      </w:r>
      <w:r w:rsidR="00847369">
        <w:rPr>
          <w:bCs/>
        </w:rPr>
        <w:t xml:space="preserve"> </w:t>
      </w:r>
      <w:r w:rsidR="00847369" w:rsidRPr="00751C3A">
        <w:t>Rashodi za nabavu</w:t>
      </w:r>
      <w:r w:rsidR="00F6095E">
        <w:t xml:space="preserve"> neproizvedene dugotrajne imovine </w:t>
      </w:r>
      <w:r w:rsidR="00B34D58">
        <w:t>povećavaju</w:t>
      </w:r>
      <w:r w:rsidR="00F6095E">
        <w:t xml:space="preserve"> za </w:t>
      </w:r>
      <w:r w:rsidR="00B34D58">
        <w:t>701</w:t>
      </w:r>
      <w:r w:rsidR="00F6095E">
        <w:t xml:space="preserve">,00 eura na novi iznos od </w:t>
      </w:r>
      <w:r w:rsidR="00B34D58">
        <w:t>21.701,00</w:t>
      </w:r>
      <w:r w:rsidR="00F6095E">
        <w:t xml:space="preserve"> eura, zatim rashodi za nabavu </w:t>
      </w:r>
      <w:r w:rsidR="00847369" w:rsidRPr="00751C3A">
        <w:t xml:space="preserve"> proizvedene dugotrajne imovine</w:t>
      </w:r>
      <w:r w:rsidR="00672ED3">
        <w:t xml:space="preserve"> </w:t>
      </w:r>
      <w:r w:rsidR="00004291">
        <w:t>povećavaju</w:t>
      </w:r>
      <w:r w:rsidR="00672ED3">
        <w:t xml:space="preserve"> se</w:t>
      </w:r>
      <w:r w:rsidR="00847369">
        <w:t xml:space="preserve"> za</w:t>
      </w:r>
      <w:r w:rsidR="00672ED3">
        <w:t xml:space="preserve"> </w:t>
      </w:r>
      <w:r w:rsidR="00847369">
        <w:t xml:space="preserve"> </w:t>
      </w:r>
      <w:r w:rsidR="00B34D58">
        <w:t>486.500,00</w:t>
      </w:r>
      <w:r w:rsidR="00672ED3">
        <w:rPr>
          <w:rFonts w:ascii="Arial" w:hAnsi="Arial" w:cs="Arial"/>
          <w:sz w:val="16"/>
          <w:szCs w:val="16"/>
        </w:rPr>
        <w:t xml:space="preserve"> </w:t>
      </w:r>
      <w:r w:rsidR="00422465">
        <w:t>eura</w:t>
      </w:r>
      <w:r w:rsidR="00004291">
        <w:t xml:space="preserve"> na novi planirani iznos od </w:t>
      </w:r>
      <w:r w:rsidR="00B34D58">
        <w:t>4.115.600,00</w:t>
      </w:r>
      <w:r w:rsidR="00004291">
        <w:t xml:space="preserve"> eura </w:t>
      </w:r>
      <w:r w:rsidR="00B34D58">
        <w:t xml:space="preserve">kao i </w:t>
      </w:r>
      <w:r w:rsidR="00004291">
        <w:t xml:space="preserve"> </w:t>
      </w:r>
      <w:r w:rsidR="00004291" w:rsidRPr="00004291">
        <w:t>Rashodi za dodatna ulaganja na nefinancijskoj imovini</w:t>
      </w:r>
      <w:r w:rsidR="00004291">
        <w:t xml:space="preserve"> </w:t>
      </w:r>
      <w:r w:rsidR="00B34D58">
        <w:t>koji se povećavaju</w:t>
      </w:r>
      <w:r w:rsidR="00004291">
        <w:t xml:space="preserve"> za </w:t>
      </w:r>
      <w:r w:rsidR="00B34D58">
        <w:t>404.525</w:t>
      </w:r>
      <w:r w:rsidR="00004291">
        <w:t xml:space="preserve">,00 eura na novi planirani iznos od </w:t>
      </w:r>
      <w:r w:rsidR="00B34D58" w:rsidRPr="00B34D58">
        <w:t>2.192.025,00</w:t>
      </w:r>
      <w:r w:rsidR="00B34D58" w:rsidRPr="00B34D58">
        <w:rPr>
          <w:rFonts w:ascii="Arial" w:hAnsi="Arial" w:cs="Arial"/>
          <w:sz w:val="18"/>
          <w:szCs w:val="18"/>
        </w:rPr>
        <w:t xml:space="preserve"> </w:t>
      </w:r>
      <w:r w:rsidR="00004291">
        <w:t>eura</w:t>
      </w:r>
      <w:r w:rsidR="00422465">
        <w:t>.</w:t>
      </w:r>
    </w:p>
    <w:p w14:paraId="6A98F7BE" w14:textId="77777777" w:rsidR="00672ED3" w:rsidRDefault="00672ED3" w:rsidP="006F1B15">
      <w:pPr>
        <w:jc w:val="both"/>
      </w:pPr>
    </w:p>
    <w:p w14:paraId="096521C2" w14:textId="2A8827D1" w:rsidR="00672ED3" w:rsidRDefault="00672ED3" w:rsidP="006F1B15">
      <w:pPr>
        <w:jc w:val="both"/>
      </w:pPr>
      <w:r w:rsidRPr="00672ED3">
        <w:t>Izdaci za otplatu glavnice primljenih kredita i zajmova</w:t>
      </w:r>
      <w:r>
        <w:t xml:space="preserve"> ovom izmjenom i dopunom Proračuna </w:t>
      </w:r>
      <w:r w:rsidR="00FB22E1">
        <w:t>ostaju nepromijenjeni na</w:t>
      </w:r>
      <w:r>
        <w:t xml:space="preserve"> iznos</w:t>
      </w:r>
      <w:r w:rsidR="00FB22E1">
        <w:t>u</w:t>
      </w:r>
      <w:r>
        <w:t xml:space="preserve"> od </w:t>
      </w:r>
      <w:r w:rsidR="00B34D58" w:rsidRPr="00B34D58">
        <w:t xml:space="preserve">1.854.200,00 </w:t>
      </w:r>
      <w:r w:rsidR="006B480E">
        <w:t>eura</w:t>
      </w:r>
      <w:r w:rsidR="00D11752">
        <w:t>.</w:t>
      </w:r>
    </w:p>
    <w:p w14:paraId="07CCD6AA" w14:textId="77777777" w:rsidR="006B480E" w:rsidRDefault="006B480E" w:rsidP="006F1B15">
      <w:pPr>
        <w:jc w:val="both"/>
      </w:pPr>
    </w:p>
    <w:p w14:paraId="5853DA4C" w14:textId="77777777" w:rsidR="0046362F" w:rsidRDefault="0046362F" w:rsidP="006F1B15">
      <w:pPr>
        <w:jc w:val="both"/>
      </w:pPr>
    </w:p>
    <w:p w14:paraId="22E2B683" w14:textId="77777777" w:rsidR="00FB22E1" w:rsidRDefault="00FB22E1" w:rsidP="006F1B15">
      <w:pPr>
        <w:jc w:val="both"/>
      </w:pPr>
    </w:p>
    <w:p w14:paraId="509A470C" w14:textId="77777777" w:rsidR="00FB22E1" w:rsidRDefault="00FB22E1" w:rsidP="006F1B15">
      <w:pPr>
        <w:jc w:val="both"/>
      </w:pPr>
    </w:p>
    <w:p w14:paraId="23EA8BB3" w14:textId="77777777" w:rsidR="0046362F" w:rsidRPr="00751C3A" w:rsidRDefault="0046362F" w:rsidP="0046362F">
      <w:pPr>
        <w:jc w:val="both"/>
        <w:rPr>
          <w:i/>
          <w:u w:val="single"/>
        </w:rPr>
      </w:pPr>
      <w:r>
        <w:rPr>
          <w:i/>
          <w:u w:val="single"/>
        </w:rPr>
        <w:t>Rezultat poslovanja</w:t>
      </w:r>
    </w:p>
    <w:p w14:paraId="33CD88D5" w14:textId="775FCB49" w:rsidR="00450B6E" w:rsidRDefault="00450B6E" w:rsidP="006F1B15">
      <w:pPr>
        <w:jc w:val="both"/>
      </w:pPr>
      <w:r>
        <w:t>Ovom izmjenom i dopunom u proračun se uključuju  prenesena sredstva viškova i manjkova utvrđena godišnjim financijskim izvještajima proračuna za 2024. godinu i Godišnjim izvještajem o izvršenju proračuna i raspoređena prema utvrđenim izvorima financiranja</w:t>
      </w:r>
    </w:p>
    <w:p w14:paraId="678A9250" w14:textId="66BDB8E2" w:rsidR="00704B56" w:rsidRDefault="00704B56" w:rsidP="006F1B15">
      <w:pPr>
        <w:jc w:val="both"/>
        <w:rPr>
          <w:bCs/>
        </w:rPr>
      </w:pPr>
      <w:r>
        <w:t>Planirani financijski rezultat</w:t>
      </w:r>
      <w:r w:rsidR="00450B6E">
        <w:t xml:space="preserve"> - manjak</w:t>
      </w:r>
      <w:r>
        <w:t xml:space="preserve"> u ukupnom iznosu od </w:t>
      </w:r>
      <w:r w:rsidR="00450B6E">
        <w:t>793.800</w:t>
      </w:r>
      <w:r>
        <w:t xml:space="preserve">,00 eura </w:t>
      </w:r>
      <w:r w:rsidR="00FB22E1">
        <w:t xml:space="preserve">ovom izmjenom i dopunom proračuna </w:t>
      </w:r>
      <w:r w:rsidR="00450B6E">
        <w:t>korigira se na novi iznos od 472.129,00 eura i koji predstavlja odnos između utvrđenih stavaka prenesenih viškova i manjkova</w:t>
      </w:r>
      <w:r w:rsidR="00DF6CAA">
        <w:t xml:space="preserve"> po izvorima financiranja</w:t>
      </w:r>
      <w:r w:rsidR="00450B6E">
        <w:t xml:space="preserve"> kako slijedi:</w:t>
      </w:r>
      <w:r w:rsidR="00FB22E1">
        <w:t>.</w:t>
      </w:r>
      <w:r w:rsidR="002B5365">
        <w:rPr>
          <w:bCs/>
        </w:rPr>
        <w:t xml:space="preserve"> </w:t>
      </w:r>
    </w:p>
    <w:p w14:paraId="2A3CE1C5" w14:textId="77777777" w:rsidR="00DF6CAA" w:rsidRDefault="00DF6CAA" w:rsidP="006F1B15">
      <w:pPr>
        <w:jc w:val="both"/>
        <w:rPr>
          <w:bCs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9"/>
        <w:gridCol w:w="5502"/>
        <w:gridCol w:w="1417"/>
      </w:tblGrid>
      <w:tr w:rsidR="00DF6CAA" w:rsidRPr="00DF6CAA" w14:paraId="11BBE3A3" w14:textId="77777777" w:rsidTr="001B62B9">
        <w:trPr>
          <w:trHeight w:val="148"/>
        </w:trPr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FFFF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EE0DF4A" w14:textId="77777777" w:rsidR="00DF6CAA" w:rsidRPr="00DF6CAA" w:rsidRDefault="00DF6CAA" w:rsidP="00E76725">
            <w:pPr>
              <w:spacing w:after="0" w:line="240" w:lineRule="auto"/>
              <w:rPr>
                <w:sz w:val="20"/>
                <w:szCs w:val="20"/>
              </w:rPr>
            </w:pPr>
            <w:r w:rsidRPr="00DF6CAA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lastRenderedPageBreak/>
              <w:t>Izvor  1.1.</w:t>
            </w:r>
          </w:p>
        </w:tc>
        <w:tc>
          <w:tcPr>
            <w:tcW w:w="5502" w:type="dxa"/>
            <w:tcBorders>
              <w:top w:val="nil"/>
              <w:left w:val="nil"/>
              <w:bottom w:val="nil"/>
              <w:right w:val="nil"/>
            </w:tcBorders>
            <w:shd w:val="clear" w:color="auto" w:fill="FFFF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3E2F6A5" w14:textId="77777777" w:rsidR="00DF6CAA" w:rsidRPr="00DF6CAA" w:rsidRDefault="00DF6CAA" w:rsidP="00E76725">
            <w:pPr>
              <w:spacing w:after="0" w:line="240" w:lineRule="auto"/>
              <w:rPr>
                <w:sz w:val="20"/>
                <w:szCs w:val="20"/>
              </w:rPr>
            </w:pPr>
            <w:r w:rsidRPr="00DF6CAA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Opći prihodi i primici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9C5BBA1" w14:textId="77777777" w:rsidR="00DF6CAA" w:rsidRPr="00DF6CAA" w:rsidRDefault="00DF6CAA" w:rsidP="00E76725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DF6CAA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74.620,00</w:t>
            </w:r>
          </w:p>
        </w:tc>
      </w:tr>
      <w:tr w:rsidR="00DF6CAA" w:rsidRPr="00DF6CAA" w14:paraId="7FBE43E4" w14:textId="77777777" w:rsidTr="001B62B9">
        <w:trPr>
          <w:trHeight w:val="148"/>
        </w:trPr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0189703" w14:textId="77777777" w:rsidR="00DF6CAA" w:rsidRPr="00DF6CAA" w:rsidRDefault="00DF6CAA" w:rsidP="00E76725">
            <w:pPr>
              <w:spacing w:after="0" w:line="240" w:lineRule="auto"/>
              <w:rPr>
                <w:sz w:val="20"/>
                <w:szCs w:val="20"/>
              </w:rPr>
            </w:pPr>
            <w:r w:rsidRPr="00DF6CAA">
              <w:rPr>
                <w:rFonts w:ascii="Arial" w:eastAsia="Arial" w:hAnsi="Arial"/>
                <w:color w:val="000000"/>
                <w:sz w:val="20"/>
                <w:szCs w:val="20"/>
              </w:rPr>
              <w:t>9221</w:t>
            </w:r>
          </w:p>
        </w:tc>
        <w:tc>
          <w:tcPr>
            <w:tcW w:w="5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A665422" w14:textId="77777777" w:rsidR="00DF6CAA" w:rsidRPr="00DF6CAA" w:rsidRDefault="00DF6CAA" w:rsidP="00E76725">
            <w:pPr>
              <w:spacing w:after="0" w:line="240" w:lineRule="auto"/>
              <w:rPr>
                <w:sz w:val="20"/>
                <w:szCs w:val="20"/>
              </w:rPr>
            </w:pPr>
            <w:r w:rsidRPr="00DF6CAA">
              <w:rPr>
                <w:rFonts w:ascii="Arial" w:eastAsia="Arial" w:hAnsi="Arial"/>
                <w:color w:val="000000"/>
                <w:sz w:val="20"/>
                <w:szCs w:val="20"/>
              </w:rPr>
              <w:t>Višak prihoda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AA10EB7" w14:textId="77777777" w:rsidR="00DF6CAA" w:rsidRPr="00DF6CAA" w:rsidRDefault="00DF6CAA" w:rsidP="00E76725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DF6CAA">
              <w:rPr>
                <w:rFonts w:ascii="Arial" w:eastAsia="Arial" w:hAnsi="Arial"/>
                <w:color w:val="000000"/>
                <w:sz w:val="20"/>
                <w:szCs w:val="20"/>
              </w:rPr>
              <w:t>74.620,00</w:t>
            </w:r>
          </w:p>
        </w:tc>
      </w:tr>
      <w:tr w:rsidR="00DF6CAA" w:rsidRPr="00DF6CAA" w14:paraId="62DD61E7" w14:textId="77777777" w:rsidTr="001B62B9">
        <w:trPr>
          <w:trHeight w:val="148"/>
        </w:trPr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FFFF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13F719F" w14:textId="77777777" w:rsidR="00DF6CAA" w:rsidRPr="00DF6CAA" w:rsidRDefault="00DF6CAA" w:rsidP="00E76725">
            <w:pPr>
              <w:spacing w:after="0" w:line="240" w:lineRule="auto"/>
              <w:rPr>
                <w:sz w:val="20"/>
                <w:szCs w:val="20"/>
              </w:rPr>
            </w:pPr>
            <w:r w:rsidRPr="00DF6CAA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Izvor  4.1.</w:t>
            </w:r>
          </w:p>
        </w:tc>
        <w:tc>
          <w:tcPr>
            <w:tcW w:w="5502" w:type="dxa"/>
            <w:tcBorders>
              <w:top w:val="nil"/>
              <w:left w:val="nil"/>
              <w:bottom w:val="nil"/>
              <w:right w:val="nil"/>
            </w:tcBorders>
            <w:shd w:val="clear" w:color="auto" w:fill="FFFF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9F6BAE7" w14:textId="77777777" w:rsidR="00DF6CAA" w:rsidRPr="00DF6CAA" w:rsidRDefault="00DF6CAA" w:rsidP="00E76725">
            <w:pPr>
              <w:spacing w:after="0" w:line="240" w:lineRule="auto"/>
              <w:rPr>
                <w:sz w:val="20"/>
                <w:szCs w:val="20"/>
              </w:rPr>
            </w:pPr>
            <w:r w:rsidRPr="00DF6CAA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Prihodi za posebne namjene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814D933" w14:textId="77777777" w:rsidR="00DF6CAA" w:rsidRPr="00DF6CAA" w:rsidRDefault="00DF6CAA" w:rsidP="00E76725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DF6CAA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342.325,00</w:t>
            </w:r>
          </w:p>
        </w:tc>
      </w:tr>
      <w:tr w:rsidR="00DF6CAA" w:rsidRPr="00DF6CAA" w14:paraId="3AE9560F" w14:textId="77777777" w:rsidTr="001B62B9">
        <w:trPr>
          <w:trHeight w:val="148"/>
        </w:trPr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201B5BB" w14:textId="77777777" w:rsidR="00DF6CAA" w:rsidRPr="00DF6CAA" w:rsidRDefault="00DF6CAA" w:rsidP="00E76725">
            <w:pPr>
              <w:spacing w:after="0" w:line="240" w:lineRule="auto"/>
              <w:rPr>
                <w:sz w:val="20"/>
                <w:szCs w:val="20"/>
              </w:rPr>
            </w:pPr>
            <w:r w:rsidRPr="00DF6CAA">
              <w:rPr>
                <w:rFonts w:ascii="Arial" w:eastAsia="Arial" w:hAnsi="Arial"/>
                <w:color w:val="000000"/>
                <w:sz w:val="20"/>
                <w:szCs w:val="20"/>
              </w:rPr>
              <w:t>9221</w:t>
            </w:r>
          </w:p>
        </w:tc>
        <w:tc>
          <w:tcPr>
            <w:tcW w:w="5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6A5A677" w14:textId="77777777" w:rsidR="00DF6CAA" w:rsidRPr="00DF6CAA" w:rsidRDefault="00DF6CAA" w:rsidP="00E76725">
            <w:pPr>
              <w:spacing w:after="0" w:line="240" w:lineRule="auto"/>
              <w:rPr>
                <w:sz w:val="20"/>
                <w:szCs w:val="20"/>
              </w:rPr>
            </w:pPr>
            <w:r w:rsidRPr="00DF6CAA">
              <w:rPr>
                <w:rFonts w:ascii="Arial" w:eastAsia="Arial" w:hAnsi="Arial"/>
                <w:color w:val="000000"/>
                <w:sz w:val="20"/>
                <w:szCs w:val="20"/>
              </w:rPr>
              <w:t>Višak prihoda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84BB19A" w14:textId="77777777" w:rsidR="00DF6CAA" w:rsidRPr="00DF6CAA" w:rsidRDefault="00DF6CAA" w:rsidP="00E76725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DF6CAA">
              <w:rPr>
                <w:rFonts w:ascii="Arial" w:eastAsia="Arial" w:hAnsi="Arial"/>
                <w:color w:val="000000"/>
                <w:sz w:val="20"/>
                <w:szCs w:val="20"/>
              </w:rPr>
              <w:t>342.325,00</w:t>
            </w:r>
          </w:p>
        </w:tc>
      </w:tr>
      <w:tr w:rsidR="00DF6CAA" w:rsidRPr="00DF6CAA" w14:paraId="0BA86C7B" w14:textId="77777777" w:rsidTr="001B62B9">
        <w:trPr>
          <w:trHeight w:val="148"/>
        </w:trPr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FFFF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4975F15" w14:textId="77777777" w:rsidR="00DF6CAA" w:rsidRPr="00DF6CAA" w:rsidRDefault="00DF6CAA" w:rsidP="00E76725">
            <w:pPr>
              <w:spacing w:after="0" w:line="240" w:lineRule="auto"/>
              <w:rPr>
                <w:sz w:val="20"/>
                <w:szCs w:val="20"/>
              </w:rPr>
            </w:pPr>
            <w:r w:rsidRPr="00DF6CAA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Izvor  4.2.</w:t>
            </w:r>
          </w:p>
        </w:tc>
        <w:tc>
          <w:tcPr>
            <w:tcW w:w="5502" w:type="dxa"/>
            <w:tcBorders>
              <w:top w:val="nil"/>
              <w:left w:val="nil"/>
              <w:bottom w:val="nil"/>
              <w:right w:val="nil"/>
            </w:tcBorders>
            <w:shd w:val="clear" w:color="auto" w:fill="FFFF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E27761A" w14:textId="77777777" w:rsidR="00DF6CAA" w:rsidRPr="00DF6CAA" w:rsidRDefault="00DF6CAA" w:rsidP="00E76725">
            <w:pPr>
              <w:spacing w:after="0" w:line="240" w:lineRule="auto"/>
              <w:rPr>
                <w:sz w:val="20"/>
                <w:szCs w:val="20"/>
              </w:rPr>
            </w:pPr>
            <w:r w:rsidRPr="00DF6CAA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Prihodi za posebne namjene-Komunalna naknada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766BE8A" w14:textId="77777777" w:rsidR="00DF6CAA" w:rsidRPr="00DF6CAA" w:rsidRDefault="00DF6CAA" w:rsidP="00E76725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DF6CAA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108.345,00</w:t>
            </w:r>
          </w:p>
        </w:tc>
      </w:tr>
      <w:tr w:rsidR="00DF6CAA" w:rsidRPr="00DF6CAA" w14:paraId="61785048" w14:textId="77777777" w:rsidTr="001B62B9">
        <w:trPr>
          <w:trHeight w:val="148"/>
        </w:trPr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75674F0" w14:textId="77777777" w:rsidR="00DF6CAA" w:rsidRPr="00DF6CAA" w:rsidRDefault="00DF6CAA" w:rsidP="00E76725">
            <w:pPr>
              <w:spacing w:after="0" w:line="240" w:lineRule="auto"/>
              <w:rPr>
                <w:sz w:val="20"/>
                <w:szCs w:val="20"/>
              </w:rPr>
            </w:pPr>
            <w:r w:rsidRPr="00DF6CAA">
              <w:rPr>
                <w:rFonts w:ascii="Arial" w:eastAsia="Arial" w:hAnsi="Arial"/>
                <w:color w:val="000000"/>
                <w:sz w:val="20"/>
                <w:szCs w:val="20"/>
              </w:rPr>
              <w:t>9221</w:t>
            </w:r>
          </w:p>
        </w:tc>
        <w:tc>
          <w:tcPr>
            <w:tcW w:w="5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AD0F541" w14:textId="77777777" w:rsidR="00DF6CAA" w:rsidRPr="00DF6CAA" w:rsidRDefault="00DF6CAA" w:rsidP="00E76725">
            <w:pPr>
              <w:spacing w:after="0" w:line="240" w:lineRule="auto"/>
              <w:rPr>
                <w:sz w:val="20"/>
                <w:szCs w:val="20"/>
              </w:rPr>
            </w:pPr>
            <w:r w:rsidRPr="00DF6CAA">
              <w:rPr>
                <w:rFonts w:ascii="Arial" w:eastAsia="Arial" w:hAnsi="Arial"/>
                <w:color w:val="000000"/>
                <w:sz w:val="20"/>
                <w:szCs w:val="20"/>
              </w:rPr>
              <w:t>Višak prihoda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FB79914" w14:textId="77777777" w:rsidR="00DF6CAA" w:rsidRPr="00DF6CAA" w:rsidRDefault="00DF6CAA" w:rsidP="00E76725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DF6CAA">
              <w:rPr>
                <w:rFonts w:ascii="Arial" w:eastAsia="Arial" w:hAnsi="Arial"/>
                <w:color w:val="000000"/>
                <w:sz w:val="20"/>
                <w:szCs w:val="20"/>
              </w:rPr>
              <w:t>108.345,00</w:t>
            </w:r>
          </w:p>
        </w:tc>
      </w:tr>
      <w:tr w:rsidR="00DF6CAA" w:rsidRPr="00DF6CAA" w14:paraId="7828B631" w14:textId="77777777" w:rsidTr="001B62B9">
        <w:trPr>
          <w:trHeight w:val="148"/>
        </w:trPr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FFFF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FACC6F3" w14:textId="77777777" w:rsidR="00DF6CAA" w:rsidRPr="00DF6CAA" w:rsidRDefault="00DF6CAA" w:rsidP="00E76725">
            <w:pPr>
              <w:spacing w:after="0" w:line="240" w:lineRule="auto"/>
              <w:rPr>
                <w:sz w:val="20"/>
                <w:szCs w:val="20"/>
              </w:rPr>
            </w:pPr>
            <w:r w:rsidRPr="00DF6CAA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Izvor  4.3.</w:t>
            </w:r>
          </w:p>
        </w:tc>
        <w:tc>
          <w:tcPr>
            <w:tcW w:w="5502" w:type="dxa"/>
            <w:tcBorders>
              <w:top w:val="nil"/>
              <w:left w:val="nil"/>
              <w:bottom w:val="nil"/>
              <w:right w:val="nil"/>
            </w:tcBorders>
            <w:shd w:val="clear" w:color="auto" w:fill="FFFF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2594E98" w14:textId="77777777" w:rsidR="00DF6CAA" w:rsidRPr="00DF6CAA" w:rsidRDefault="00DF6CAA" w:rsidP="00E76725">
            <w:pPr>
              <w:spacing w:after="0" w:line="240" w:lineRule="auto"/>
              <w:rPr>
                <w:sz w:val="20"/>
                <w:szCs w:val="20"/>
              </w:rPr>
            </w:pPr>
            <w:r w:rsidRPr="00DF6CAA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Prihodi za posebne namjene-Komunalni doprinos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F5DAFA8" w14:textId="77777777" w:rsidR="00DF6CAA" w:rsidRPr="00DF6CAA" w:rsidRDefault="00DF6CAA" w:rsidP="00E76725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DF6CAA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496.100,00</w:t>
            </w:r>
          </w:p>
        </w:tc>
      </w:tr>
      <w:tr w:rsidR="00DF6CAA" w:rsidRPr="00DF6CAA" w14:paraId="038ABE89" w14:textId="77777777" w:rsidTr="001B62B9">
        <w:trPr>
          <w:trHeight w:val="148"/>
        </w:trPr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CE260DF" w14:textId="77777777" w:rsidR="00DF6CAA" w:rsidRPr="00DF6CAA" w:rsidRDefault="00DF6CAA" w:rsidP="00E76725">
            <w:pPr>
              <w:spacing w:after="0" w:line="240" w:lineRule="auto"/>
              <w:rPr>
                <w:sz w:val="20"/>
                <w:szCs w:val="20"/>
              </w:rPr>
            </w:pPr>
            <w:r w:rsidRPr="00DF6CAA">
              <w:rPr>
                <w:rFonts w:ascii="Arial" w:eastAsia="Arial" w:hAnsi="Arial"/>
                <w:color w:val="000000"/>
                <w:sz w:val="20"/>
                <w:szCs w:val="20"/>
              </w:rPr>
              <w:t>9221</w:t>
            </w:r>
          </w:p>
        </w:tc>
        <w:tc>
          <w:tcPr>
            <w:tcW w:w="5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3AB3A95" w14:textId="77777777" w:rsidR="00DF6CAA" w:rsidRPr="00DF6CAA" w:rsidRDefault="00DF6CAA" w:rsidP="00E76725">
            <w:pPr>
              <w:spacing w:after="0" w:line="240" w:lineRule="auto"/>
              <w:rPr>
                <w:sz w:val="20"/>
                <w:szCs w:val="20"/>
              </w:rPr>
            </w:pPr>
            <w:r w:rsidRPr="00DF6CAA">
              <w:rPr>
                <w:rFonts w:ascii="Arial" w:eastAsia="Arial" w:hAnsi="Arial"/>
                <w:color w:val="000000"/>
                <w:sz w:val="20"/>
                <w:szCs w:val="20"/>
              </w:rPr>
              <w:t>Višak prihoda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A275F95" w14:textId="77777777" w:rsidR="00DF6CAA" w:rsidRPr="00DF6CAA" w:rsidRDefault="00DF6CAA" w:rsidP="00E76725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DF6CAA">
              <w:rPr>
                <w:rFonts w:ascii="Arial" w:eastAsia="Arial" w:hAnsi="Arial"/>
                <w:color w:val="000000"/>
                <w:sz w:val="20"/>
                <w:szCs w:val="20"/>
              </w:rPr>
              <w:t>496.100,00</w:t>
            </w:r>
          </w:p>
        </w:tc>
      </w:tr>
      <w:tr w:rsidR="00DF6CAA" w:rsidRPr="00DF6CAA" w14:paraId="06484F9E" w14:textId="77777777" w:rsidTr="001B62B9">
        <w:trPr>
          <w:trHeight w:val="148"/>
        </w:trPr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FFFF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CBC345B" w14:textId="77777777" w:rsidR="00DF6CAA" w:rsidRPr="00DF6CAA" w:rsidRDefault="00DF6CAA" w:rsidP="00E76725">
            <w:pPr>
              <w:spacing w:after="0" w:line="240" w:lineRule="auto"/>
              <w:rPr>
                <w:sz w:val="20"/>
                <w:szCs w:val="20"/>
              </w:rPr>
            </w:pPr>
            <w:r w:rsidRPr="00DF6CAA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Izvor  4.4.</w:t>
            </w:r>
          </w:p>
        </w:tc>
        <w:tc>
          <w:tcPr>
            <w:tcW w:w="5502" w:type="dxa"/>
            <w:tcBorders>
              <w:top w:val="nil"/>
              <w:left w:val="nil"/>
              <w:bottom w:val="nil"/>
              <w:right w:val="nil"/>
            </w:tcBorders>
            <w:shd w:val="clear" w:color="auto" w:fill="FFFF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B3175CD" w14:textId="77777777" w:rsidR="00DF6CAA" w:rsidRPr="00DF6CAA" w:rsidRDefault="00DF6CAA" w:rsidP="00E76725">
            <w:pPr>
              <w:spacing w:after="0" w:line="240" w:lineRule="auto"/>
              <w:rPr>
                <w:sz w:val="20"/>
                <w:szCs w:val="20"/>
              </w:rPr>
            </w:pPr>
            <w:r w:rsidRPr="00DF6CAA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Prihodi za posebne namjene- Turistička pristojba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4442B92" w14:textId="77777777" w:rsidR="00DF6CAA" w:rsidRPr="00DF6CAA" w:rsidRDefault="00DF6CAA" w:rsidP="00E76725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DF6CAA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34.000,00</w:t>
            </w:r>
          </w:p>
        </w:tc>
      </w:tr>
      <w:tr w:rsidR="00DF6CAA" w:rsidRPr="00DF6CAA" w14:paraId="61E328A0" w14:textId="77777777" w:rsidTr="001B62B9">
        <w:trPr>
          <w:trHeight w:val="148"/>
        </w:trPr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F231021" w14:textId="77777777" w:rsidR="00DF6CAA" w:rsidRPr="00DF6CAA" w:rsidRDefault="00DF6CAA" w:rsidP="00E76725">
            <w:pPr>
              <w:spacing w:after="0" w:line="240" w:lineRule="auto"/>
              <w:rPr>
                <w:sz w:val="20"/>
                <w:szCs w:val="20"/>
              </w:rPr>
            </w:pPr>
            <w:r w:rsidRPr="00DF6CAA">
              <w:rPr>
                <w:rFonts w:ascii="Arial" w:eastAsia="Arial" w:hAnsi="Arial"/>
                <w:color w:val="000000"/>
                <w:sz w:val="20"/>
                <w:szCs w:val="20"/>
              </w:rPr>
              <w:t>9221</w:t>
            </w:r>
          </w:p>
        </w:tc>
        <w:tc>
          <w:tcPr>
            <w:tcW w:w="5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F2E9084" w14:textId="77777777" w:rsidR="00DF6CAA" w:rsidRPr="00DF6CAA" w:rsidRDefault="00DF6CAA" w:rsidP="00E76725">
            <w:pPr>
              <w:spacing w:after="0" w:line="240" w:lineRule="auto"/>
              <w:rPr>
                <w:sz w:val="20"/>
                <w:szCs w:val="20"/>
              </w:rPr>
            </w:pPr>
            <w:r w:rsidRPr="00DF6CAA">
              <w:rPr>
                <w:rFonts w:ascii="Arial" w:eastAsia="Arial" w:hAnsi="Arial"/>
                <w:color w:val="000000"/>
                <w:sz w:val="20"/>
                <w:szCs w:val="20"/>
              </w:rPr>
              <w:t>Višak prihoda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FB87165" w14:textId="77777777" w:rsidR="00DF6CAA" w:rsidRPr="00DF6CAA" w:rsidRDefault="00DF6CAA" w:rsidP="00E76725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DF6CAA">
              <w:rPr>
                <w:rFonts w:ascii="Arial" w:eastAsia="Arial" w:hAnsi="Arial"/>
                <w:color w:val="000000"/>
                <w:sz w:val="20"/>
                <w:szCs w:val="20"/>
              </w:rPr>
              <w:t>34.000,00</w:t>
            </w:r>
          </w:p>
        </w:tc>
      </w:tr>
      <w:tr w:rsidR="00DF6CAA" w:rsidRPr="00DF6CAA" w14:paraId="6ADE62E6" w14:textId="77777777" w:rsidTr="001B62B9">
        <w:trPr>
          <w:trHeight w:val="148"/>
        </w:trPr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FFFF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29A628E" w14:textId="77777777" w:rsidR="00DF6CAA" w:rsidRPr="00DF6CAA" w:rsidRDefault="00DF6CAA" w:rsidP="00E76725">
            <w:pPr>
              <w:spacing w:after="0" w:line="240" w:lineRule="auto"/>
              <w:rPr>
                <w:sz w:val="20"/>
                <w:szCs w:val="20"/>
              </w:rPr>
            </w:pPr>
            <w:r w:rsidRPr="00DF6CAA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Izvor  5.4.</w:t>
            </w:r>
          </w:p>
        </w:tc>
        <w:tc>
          <w:tcPr>
            <w:tcW w:w="5502" w:type="dxa"/>
            <w:tcBorders>
              <w:top w:val="nil"/>
              <w:left w:val="nil"/>
              <w:bottom w:val="nil"/>
              <w:right w:val="nil"/>
            </w:tcBorders>
            <w:shd w:val="clear" w:color="auto" w:fill="FFFF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7C3D905" w14:textId="77777777" w:rsidR="00DF6CAA" w:rsidRPr="00DF6CAA" w:rsidRDefault="00DF6CAA" w:rsidP="00E76725">
            <w:pPr>
              <w:spacing w:after="0" w:line="240" w:lineRule="auto"/>
              <w:rPr>
                <w:sz w:val="20"/>
                <w:szCs w:val="20"/>
              </w:rPr>
            </w:pPr>
            <w:r w:rsidRPr="00DF6CAA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Pomoći - Prihodi za decentralizirane funkcije - Grad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213C0F6" w14:textId="77777777" w:rsidR="00DF6CAA" w:rsidRPr="00DF6CAA" w:rsidRDefault="00DF6CAA" w:rsidP="00E76725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DF6CAA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1.890,00</w:t>
            </w:r>
          </w:p>
        </w:tc>
      </w:tr>
      <w:tr w:rsidR="00DF6CAA" w:rsidRPr="00DF6CAA" w14:paraId="34B794C1" w14:textId="77777777" w:rsidTr="001B62B9">
        <w:trPr>
          <w:trHeight w:val="148"/>
        </w:trPr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08500F8" w14:textId="77777777" w:rsidR="00DF6CAA" w:rsidRPr="00DF6CAA" w:rsidRDefault="00DF6CAA" w:rsidP="00E76725">
            <w:pPr>
              <w:spacing w:after="0" w:line="240" w:lineRule="auto"/>
              <w:rPr>
                <w:sz w:val="20"/>
                <w:szCs w:val="20"/>
              </w:rPr>
            </w:pPr>
            <w:r w:rsidRPr="00DF6CAA">
              <w:rPr>
                <w:rFonts w:ascii="Arial" w:eastAsia="Arial" w:hAnsi="Arial"/>
                <w:color w:val="000000"/>
                <w:sz w:val="20"/>
                <w:szCs w:val="20"/>
              </w:rPr>
              <w:t>9221</w:t>
            </w:r>
          </w:p>
        </w:tc>
        <w:tc>
          <w:tcPr>
            <w:tcW w:w="5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9832E31" w14:textId="77777777" w:rsidR="00DF6CAA" w:rsidRPr="00DF6CAA" w:rsidRDefault="00DF6CAA" w:rsidP="00E76725">
            <w:pPr>
              <w:spacing w:after="0" w:line="240" w:lineRule="auto"/>
              <w:rPr>
                <w:sz w:val="20"/>
                <w:szCs w:val="20"/>
              </w:rPr>
            </w:pPr>
            <w:r w:rsidRPr="00DF6CAA">
              <w:rPr>
                <w:rFonts w:ascii="Arial" w:eastAsia="Arial" w:hAnsi="Arial"/>
                <w:color w:val="000000"/>
                <w:sz w:val="20"/>
                <w:szCs w:val="20"/>
              </w:rPr>
              <w:t>Višak prihoda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2752FCD" w14:textId="77777777" w:rsidR="00DF6CAA" w:rsidRPr="00DF6CAA" w:rsidRDefault="00DF6CAA" w:rsidP="00E76725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DF6CAA">
              <w:rPr>
                <w:rFonts w:ascii="Arial" w:eastAsia="Arial" w:hAnsi="Arial"/>
                <w:color w:val="000000"/>
                <w:sz w:val="20"/>
                <w:szCs w:val="20"/>
              </w:rPr>
              <w:t>1.890,00</w:t>
            </w:r>
          </w:p>
        </w:tc>
      </w:tr>
      <w:tr w:rsidR="00DF6CAA" w:rsidRPr="00DF6CAA" w14:paraId="36C91467" w14:textId="77777777" w:rsidTr="001B62B9">
        <w:trPr>
          <w:trHeight w:val="148"/>
        </w:trPr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FFFF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1D27C52" w14:textId="77777777" w:rsidR="00DF6CAA" w:rsidRPr="00DF6CAA" w:rsidRDefault="00DF6CAA" w:rsidP="00E76725">
            <w:pPr>
              <w:spacing w:after="0" w:line="240" w:lineRule="auto"/>
              <w:rPr>
                <w:sz w:val="20"/>
                <w:szCs w:val="20"/>
              </w:rPr>
            </w:pPr>
            <w:r w:rsidRPr="00DF6CAA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Izvor  6.1.</w:t>
            </w:r>
          </w:p>
        </w:tc>
        <w:tc>
          <w:tcPr>
            <w:tcW w:w="5502" w:type="dxa"/>
            <w:tcBorders>
              <w:top w:val="nil"/>
              <w:left w:val="nil"/>
              <w:bottom w:val="nil"/>
              <w:right w:val="nil"/>
            </w:tcBorders>
            <w:shd w:val="clear" w:color="auto" w:fill="FFFF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2F7FEDB" w14:textId="77777777" w:rsidR="00DF6CAA" w:rsidRPr="00DF6CAA" w:rsidRDefault="00DF6CAA" w:rsidP="00E76725">
            <w:pPr>
              <w:spacing w:after="0" w:line="240" w:lineRule="auto"/>
              <w:rPr>
                <w:sz w:val="20"/>
                <w:szCs w:val="20"/>
              </w:rPr>
            </w:pPr>
            <w:r w:rsidRPr="00DF6CAA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Donacije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A64C43C" w14:textId="77777777" w:rsidR="00DF6CAA" w:rsidRPr="00DF6CAA" w:rsidRDefault="00DF6CAA" w:rsidP="00E76725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DF6CAA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7.130,00</w:t>
            </w:r>
          </w:p>
        </w:tc>
      </w:tr>
      <w:tr w:rsidR="00DF6CAA" w:rsidRPr="00DF6CAA" w14:paraId="6F6CA448" w14:textId="77777777" w:rsidTr="001B62B9">
        <w:trPr>
          <w:trHeight w:val="148"/>
        </w:trPr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B208EC1" w14:textId="77777777" w:rsidR="00DF6CAA" w:rsidRPr="00DF6CAA" w:rsidRDefault="00DF6CAA" w:rsidP="00E76725">
            <w:pPr>
              <w:spacing w:after="0" w:line="240" w:lineRule="auto"/>
              <w:rPr>
                <w:sz w:val="20"/>
                <w:szCs w:val="20"/>
              </w:rPr>
            </w:pPr>
            <w:r w:rsidRPr="00DF6CAA">
              <w:rPr>
                <w:rFonts w:ascii="Arial" w:eastAsia="Arial" w:hAnsi="Arial"/>
                <w:color w:val="000000"/>
                <w:sz w:val="20"/>
                <w:szCs w:val="20"/>
              </w:rPr>
              <w:t>9221</w:t>
            </w:r>
          </w:p>
        </w:tc>
        <w:tc>
          <w:tcPr>
            <w:tcW w:w="5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B116C11" w14:textId="77777777" w:rsidR="00DF6CAA" w:rsidRPr="00DF6CAA" w:rsidRDefault="00DF6CAA" w:rsidP="00E76725">
            <w:pPr>
              <w:spacing w:after="0" w:line="240" w:lineRule="auto"/>
              <w:rPr>
                <w:sz w:val="20"/>
                <w:szCs w:val="20"/>
              </w:rPr>
            </w:pPr>
            <w:r w:rsidRPr="00DF6CAA">
              <w:rPr>
                <w:rFonts w:ascii="Arial" w:eastAsia="Arial" w:hAnsi="Arial"/>
                <w:color w:val="000000"/>
                <w:sz w:val="20"/>
                <w:szCs w:val="20"/>
              </w:rPr>
              <w:t>Višak prihoda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DAF76C8" w14:textId="77777777" w:rsidR="00DF6CAA" w:rsidRPr="00DF6CAA" w:rsidRDefault="00DF6CAA" w:rsidP="00E76725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DF6CAA">
              <w:rPr>
                <w:rFonts w:ascii="Arial" w:eastAsia="Arial" w:hAnsi="Arial"/>
                <w:color w:val="000000"/>
                <w:sz w:val="20"/>
                <w:szCs w:val="20"/>
              </w:rPr>
              <w:t>7.130,00</w:t>
            </w:r>
          </w:p>
        </w:tc>
      </w:tr>
      <w:tr w:rsidR="00DF6CAA" w:rsidRPr="00DF6CAA" w14:paraId="6B693B59" w14:textId="77777777" w:rsidTr="001B62B9">
        <w:trPr>
          <w:trHeight w:val="148"/>
        </w:trPr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FFFF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5E73EE4" w14:textId="77777777" w:rsidR="00DF6CAA" w:rsidRPr="00DF6CAA" w:rsidRDefault="00DF6CAA" w:rsidP="00E76725">
            <w:pPr>
              <w:spacing w:after="0" w:line="240" w:lineRule="auto"/>
              <w:rPr>
                <w:sz w:val="20"/>
                <w:szCs w:val="20"/>
              </w:rPr>
            </w:pPr>
            <w:r w:rsidRPr="00DF6CAA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Izvor  9.1.</w:t>
            </w:r>
          </w:p>
        </w:tc>
        <w:tc>
          <w:tcPr>
            <w:tcW w:w="5502" w:type="dxa"/>
            <w:tcBorders>
              <w:top w:val="nil"/>
              <w:left w:val="nil"/>
              <w:bottom w:val="nil"/>
              <w:right w:val="nil"/>
            </w:tcBorders>
            <w:shd w:val="clear" w:color="auto" w:fill="FFFF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364777D" w14:textId="77777777" w:rsidR="00DF6CAA" w:rsidRPr="00DF6CAA" w:rsidRDefault="00DF6CAA" w:rsidP="00E76725">
            <w:pPr>
              <w:spacing w:after="0" w:line="240" w:lineRule="auto"/>
              <w:rPr>
                <w:sz w:val="20"/>
                <w:szCs w:val="20"/>
              </w:rPr>
            </w:pPr>
            <w:r w:rsidRPr="00DF6CAA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Prihod od prodaje nefinancijske imovine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C3D0158" w14:textId="77777777" w:rsidR="00DF6CAA" w:rsidRPr="00DF6CAA" w:rsidRDefault="00DF6CAA" w:rsidP="00E76725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DF6CAA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70.535,00</w:t>
            </w:r>
          </w:p>
        </w:tc>
      </w:tr>
      <w:tr w:rsidR="00DF6CAA" w:rsidRPr="00DF6CAA" w14:paraId="7CBAF22C" w14:textId="77777777" w:rsidTr="001B62B9">
        <w:trPr>
          <w:trHeight w:val="148"/>
        </w:trPr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F16AFE1" w14:textId="77777777" w:rsidR="00DF6CAA" w:rsidRPr="00DF6CAA" w:rsidRDefault="00DF6CAA" w:rsidP="00E76725">
            <w:pPr>
              <w:spacing w:after="0" w:line="240" w:lineRule="auto"/>
              <w:rPr>
                <w:sz w:val="20"/>
                <w:szCs w:val="20"/>
              </w:rPr>
            </w:pPr>
            <w:r w:rsidRPr="00DF6CAA">
              <w:rPr>
                <w:rFonts w:ascii="Arial" w:eastAsia="Arial" w:hAnsi="Arial"/>
                <w:color w:val="000000"/>
                <w:sz w:val="20"/>
                <w:szCs w:val="20"/>
              </w:rPr>
              <w:t>9221</w:t>
            </w:r>
          </w:p>
        </w:tc>
        <w:tc>
          <w:tcPr>
            <w:tcW w:w="5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4662FF7" w14:textId="77777777" w:rsidR="00DF6CAA" w:rsidRPr="00DF6CAA" w:rsidRDefault="00DF6CAA" w:rsidP="00E76725">
            <w:pPr>
              <w:spacing w:after="0" w:line="240" w:lineRule="auto"/>
              <w:rPr>
                <w:sz w:val="20"/>
                <w:szCs w:val="20"/>
              </w:rPr>
            </w:pPr>
            <w:r w:rsidRPr="00DF6CAA">
              <w:rPr>
                <w:rFonts w:ascii="Arial" w:eastAsia="Arial" w:hAnsi="Arial"/>
                <w:color w:val="000000"/>
                <w:sz w:val="20"/>
                <w:szCs w:val="20"/>
              </w:rPr>
              <w:t>Višak prihoda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0183BCD" w14:textId="77777777" w:rsidR="00DF6CAA" w:rsidRPr="00DF6CAA" w:rsidRDefault="00DF6CAA" w:rsidP="00E76725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DF6CAA">
              <w:rPr>
                <w:rFonts w:ascii="Arial" w:eastAsia="Arial" w:hAnsi="Arial"/>
                <w:color w:val="000000"/>
                <w:sz w:val="20"/>
                <w:szCs w:val="20"/>
              </w:rPr>
              <w:t>70.535,00</w:t>
            </w:r>
          </w:p>
        </w:tc>
      </w:tr>
      <w:tr w:rsidR="00DF6CAA" w:rsidRPr="00DF6CAA" w14:paraId="5D4ED634" w14:textId="77777777" w:rsidTr="001B62B9">
        <w:trPr>
          <w:trHeight w:val="148"/>
        </w:trPr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FFFF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629ED69" w14:textId="77777777" w:rsidR="00DF6CAA" w:rsidRPr="00DF6CAA" w:rsidRDefault="00DF6CAA" w:rsidP="00E76725">
            <w:pPr>
              <w:spacing w:after="0" w:line="240" w:lineRule="auto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DF6CAA">
              <w:rPr>
                <w:rFonts w:ascii="Arial" w:eastAsia="Arial" w:hAnsi="Arial"/>
                <w:color w:val="000000"/>
                <w:sz w:val="20"/>
                <w:szCs w:val="20"/>
              </w:rPr>
              <w:t>Izvor  1.1.</w:t>
            </w:r>
          </w:p>
        </w:tc>
        <w:tc>
          <w:tcPr>
            <w:tcW w:w="5502" w:type="dxa"/>
            <w:tcBorders>
              <w:top w:val="nil"/>
              <w:left w:val="nil"/>
              <w:bottom w:val="nil"/>
              <w:right w:val="nil"/>
            </w:tcBorders>
            <w:shd w:val="clear" w:color="auto" w:fill="FFFF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185BA60" w14:textId="77777777" w:rsidR="00DF6CAA" w:rsidRPr="00DF6CAA" w:rsidRDefault="00DF6CAA" w:rsidP="00E76725">
            <w:pPr>
              <w:spacing w:after="0" w:line="240" w:lineRule="auto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DF6CAA">
              <w:rPr>
                <w:rFonts w:ascii="Arial" w:eastAsia="Arial" w:hAnsi="Arial"/>
                <w:color w:val="000000"/>
                <w:sz w:val="20"/>
                <w:szCs w:val="20"/>
              </w:rPr>
              <w:t>Opći prihodi i primici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A9FBE27" w14:textId="37C8A44F" w:rsidR="00DF6CAA" w:rsidRPr="00DF6CAA" w:rsidRDefault="00DF6CAA" w:rsidP="00E76725">
            <w:pPr>
              <w:spacing w:after="0" w:line="24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DF6CAA">
              <w:rPr>
                <w:rFonts w:ascii="Arial" w:eastAsia="Arial" w:hAnsi="Arial"/>
                <w:color w:val="000000"/>
                <w:sz w:val="20"/>
                <w:szCs w:val="20"/>
              </w:rPr>
              <w:t>-1.588.274,00</w:t>
            </w:r>
          </w:p>
        </w:tc>
      </w:tr>
      <w:tr w:rsidR="00DF6CAA" w:rsidRPr="00DF6CAA" w14:paraId="2EDD480E" w14:textId="77777777" w:rsidTr="001B62B9">
        <w:trPr>
          <w:trHeight w:val="148"/>
        </w:trPr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47C626E" w14:textId="77777777" w:rsidR="00DF6CAA" w:rsidRPr="00DF6CAA" w:rsidRDefault="00DF6CAA" w:rsidP="00E76725">
            <w:pPr>
              <w:spacing w:after="0" w:line="240" w:lineRule="auto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DF6CAA">
              <w:rPr>
                <w:rFonts w:ascii="Arial" w:eastAsia="Arial" w:hAnsi="Arial"/>
                <w:color w:val="000000"/>
                <w:sz w:val="20"/>
                <w:szCs w:val="20"/>
              </w:rPr>
              <w:t>9222</w:t>
            </w:r>
          </w:p>
        </w:tc>
        <w:tc>
          <w:tcPr>
            <w:tcW w:w="5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2D8F220" w14:textId="77777777" w:rsidR="00DF6CAA" w:rsidRPr="00DF6CAA" w:rsidRDefault="00DF6CAA" w:rsidP="00E76725">
            <w:pPr>
              <w:spacing w:after="0" w:line="240" w:lineRule="auto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DF6CAA">
              <w:rPr>
                <w:rFonts w:ascii="Arial" w:eastAsia="Arial" w:hAnsi="Arial"/>
                <w:color w:val="000000"/>
                <w:sz w:val="20"/>
                <w:szCs w:val="20"/>
              </w:rPr>
              <w:t>Manjak prihoda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F049BE4" w14:textId="61FEBABC" w:rsidR="00DF6CAA" w:rsidRPr="00DF6CAA" w:rsidRDefault="00DF6CAA" w:rsidP="00E76725">
            <w:pPr>
              <w:spacing w:after="0" w:line="24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DF6CAA">
              <w:rPr>
                <w:rFonts w:ascii="Arial" w:eastAsia="Arial" w:hAnsi="Arial"/>
                <w:color w:val="000000"/>
                <w:sz w:val="20"/>
                <w:szCs w:val="20"/>
              </w:rPr>
              <w:t>-1.588.274,00</w:t>
            </w:r>
          </w:p>
        </w:tc>
      </w:tr>
      <w:tr w:rsidR="00DF6CAA" w:rsidRPr="00DF6CAA" w14:paraId="3E7B2730" w14:textId="77777777" w:rsidTr="001B62B9">
        <w:trPr>
          <w:trHeight w:val="148"/>
        </w:trPr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FFFF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829BAB2" w14:textId="77777777" w:rsidR="00DF6CAA" w:rsidRPr="00DF6CAA" w:rsidRDefault="00DF6CAA" w:rsidP="00E76725">
            <w:pPr>
              <w:spacing w:after="0" w:line="240" w:lineRule="auto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DF6CAA">
              <w:rPr>
                <w:rFonts w:ascii="Arial" w:eastAsia="Arial" w:hAnsi="Arial"/>
                <w:color w:val="000000"/>
                <w:sz w:val="20"/>
                <w:szCs w:val="20"/>
              </w:rPr>
              <w:t>Izvor  3.2.</w:t>
            </w:r>
          </w:p>
        </w:tc>
        <w:tc>
          <w:tcPr>
            <w:tcW w:w="5502" w:type="dxa"/>
            <w:tcBorders>
              <w:top w:val="nil"/>
              <w:left w:val="nil"/>
              <w:bottom w:val="nil"/>
              <w:right w:val="nil"/>
            </w:tcBorders>
            <w:shd w:val="clear" w:color="auto" w:fill="FFFF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3EC2610" w14:textId="77777777" w:rsidR="00DF6CAA" w:rsidRPr="00DF6CAA" w:rsidRDefault="00DF6CAA" w:rsidP="00E76725">
            <w:pPr>
              <w:spacing w:after="0" w:line="240" w:lineRule="auto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DF6CAA">
              <w:rPr>
                <w:rFonts w:ascii="Arial" w:eastAsia="Arial" w:hAnsi="Arial"/>
                <w:color w:val="000000"/>
                <w:sz w:val="20"/>
                <w:szCs w:val="20"/>
              </w:rPr>
              <w:t>Vlastiti prihodi - proračunski korisnici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9E8AE80" w14:textId="044EAD1F" w:rsidR="00DF6CAA" w:rsidRPr="00DF6CAA" w:rsidRDefault="00DF6CAA" w:rsidP="00E76725">
            <w:pPr>
              <w:spacing w:after="0" w:line="24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DF6CAA">
              <w:rPr>
                <w:rFonts w:ascii="Arial" w:eastAsia="Arial" w:hAnsi="Arial"/>
                <w:color w:val="000000"/>
                <w:sz w:val="20"/>
                <w:szCs w:val="20"/>
              </w:rPr>
              <w:t>-18.800,00</w:t>
            </w:r>
          </w:p>
        </w:tc>
      </w:tr>
      <w:tr w:rsidR="00DF6CAA" w:rsidRPr="00DF6CAA" w14:paraId="09E4D8FC" w14:textId="77777777" w:rsidTr="001B62B9">
        <w:trPr>
          <w:trHeight w:val="148"/>
        </w:trPr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59B293E" w14:textId="77777777" w:rsidR="00DF6CAA" w:rsidRPr="00DF6CAA" w:rsidRDefault="00DF6CAA" w:rsidP="00E76725">
            <w:pPr>
              <w:spacing w:after="0" w:line="240" w:lineRule="auto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DF6CAA">
              <w:rPr>
                <w:rFonts w:ascii="Arial" w:eastAsia="Arial" w:hAnsi="Arial"/>
                <w:color w:val="000000"/>
                <w:sz w:val="20"/>
                <w:szCs w:val="20"/>
              </w:rPr>
              <w:t>9222</w:t>
            </w:r>
          </w:p>
        </w:tc>
        <w:tc>
          <w:tcPr>
            <w:tcW w:w="5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C89E9F7" w14:textId="77777777" w:rsidR="00DF6CAA" w:rsidRPr="00DF6CAA" w:rsidRDefault="00DF6CAA" w:rsidP="00E76725">
            <w:pPr>
              <w:spacing w:after="0" w:line="240" w:lineRule="auto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DF6CAA">
              <w:rPr>
                <w:rFonts w:ascii="Arial" w:eastAsia="Arial" w:hAnsi="Arial"/>
                <w:color w:val="000000"/>
                <w:sz w:val="20"/>
                <w:szCs w:val="20"/>
              </w:rPr>
              <w:t>Manjak prihoda - JVP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629BA83" w14:textId="5954242D" w:rsidR="00DF6CAA" w:rsidRPr="00DF6CAA" w:rsidRDefault="00DF6CAA" w:rsidP="00E76725">
            <w:pPr>
              <w:spacing w:after="0" w:line="24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DF6CAA">
              <w:rPr>
                <w:rFonts w:ascii="Arial" w:eastAsia="Arial" w:hAnsi="Arial"/>
                <w:color w:val="000000"/>
                <w:sz w:val="20"/>
                <w:szCs w:val="20"/>
              </w:rPr>
              <w:t>-18.800,00</w:t>
            </w:r>
          </w:p>
        </w:tc>
      </w:tr>
    </w:tbl>
    <w:p w14:paraId="39EFC838" w14:textId="77777777" w:rsidR="00DF6CAA" w:rsidRDefault="00DF6CAA" w:rsidP="006F1B15">
      <w:pPr>
        <w:jc w:val="both"/>
      </w:pPr>
    </w:p>
    <w:p w14:paraId="2C58DB07" w14:textId="77777777" w:rsidR="00704B56" w:rsidRDefault="00704B56" w:rsidP="006F1B15">
      <w:pPr>
        <w:jc w:val="both"/>
      </w:pPr>
    </w:p>
    <w:p w14:paraId="68ACE5F2" w14:textId="77777777" w:rsidR="00422465" w:rsidRDefault="00422465" w:rsidP="006F1B15">
      <w:pPr>
        <w:jc w:val="both"/>
      </w:pPr>
    </w:p>
    <w:p w14:paraId="4BFE5D70" w14:textId="77777777" w:rsidR="00422465" w:rsidRPr="009A5768" w:rsidRDefault="00422465" w:rsidP="00422465">
      <w:pPr>
        <w:jc w:val="both"/>
        <w:rPr>
          <w:u w:val="single"/>
        </w:rPr>
      </w:pPr>
      <w:r w:rsidRPr="009A5768">
        <w:rPr>
          <w:u w:val="single"/>
        </w:rPr>
        <w:t>OBRAZLOŽENJE IZMJENA I DOPUNA POSEBNOG DIJELA PRORAČUNA</w:t>
      </w:r>
    </w:p>
    <w:p w14:paraId="78537A6F" w14:textId="14F8B62C" w:rsidR="00D50E1C" w:rsidRDefault="00422465" w:rsidP="00422465">
      <w:pPr>
        <w:tabs>
          <w:tab w:val="left" w:pos="567"/>
          <w:tab w:val="decimal" w:pos="7655"/>
        </w:tabs>
        <w:jc w:val="both"/>
      </w:pPr>
      <w:r>
        <w:t>Izmjenom i dopunom Proračuna u</w:t>
      </w:r>
      <w:r w:rsidRPr="00751C3A">
        <w:t xml:space="preserve"> Posebnom dijelu Proračuna </w:t>
      </w:r>
      <w:r>
        <w:t xml:space="preserve">mijenjaju se planirani </w:t>
      </w:r>
      <w:r w:rsidRPr="00751C3A">
        <w:t xml:space="preserve"> rashodi i izdaci po programima, a unutar istih po aktivnostima i projektima u okviru razdjela/glava definiranih u skladu s organizacijskom klasifikacijom Proračuna</w:t>
      </w:r>
      <w:r w:rsidR="00D50E1C">
        <w:t xml:space="preserve"> </w:t>
      </w:r>
      <w:r w:rsidR="0046362F">
        <w:t>sa</w:t>
      </w:r>
      <w:r w:rsidR="00D50E1C">
        <w:t xml:space="preserve"> pripadajućim izvorima financiranja</w:t>
      </w:r>
      <w:r w:rsidRPr="00751C3A">
        <w:t>.</w:t>
      </w:r>
      <w:r>
        <w:t xml:space="preserve"> </w:t>
      </w:r>
      <w:r w:rsidR="00EF0CAA">
        <w:t xml:space="preserve">Ukupni rashodi i izdaci u posebnom dijelu proračuna povećavaju se za </w:t>
      </w:r>
      <w:r w:rsidR="00EF0CAA" w:rsidRPr="00EF0CAA">
        <w:t>1.153.726,00</w:t>
      </w:r>
      <w:r w:rsidR="00EF0CAA">
        <w:t xml:space="preserve"> eura na novi planirani iznos od </w:t>
      </w:r>
      <w:r w:rsidR="00EF0CAA" w:rsidRPr="00EF0CAA">
        <w:t>18.059.926,00</w:t>
      </w:r>
      <w:r w:rsidR="00EF0CAA">
        <w:t xml:space="preserve"> eura</w:t>
      </w:r>
    </w:p>
    <w:p w14:paraId="47EAD8BA" w14:textId="4D50B79B" w:rsidR="00736D08" w:rsidRPr="00736D08" w:rsidRDefault="00DF6CAA" w:rsidP="00736D08">
      <w:pPr>
        <w:pStyle w:val="Default"/>
        <w:jc w:val="both"/>
        <w:rPr>
          <w:color w:val="auto"/>
        </w:rPr>
      </w:pPr>
      <w:r>
        <w:t xml:space="preserve">U </w:t>
      </w:r>
      <w:r w:rsidRPr="00DF6CAA">
        <w:t>Razdjelu 001 PREDSTAVNIČKA I IZVRŠNA TIJELA</w:t>
      </w:r>
      <w:r w:rsidR="00EF0CAA">
        <w:t xml:space="preserve"> povećava se iznos</w:t>
      </w:r>
      <w:r w:rsidR="00736D08">
        <w:t xml:space="preserve"> za</w:t>
      </w:r>
      <w:r w:rsidR="00EF0CAA">
        <w:t xml:space="preserve"> </w:t>
      </w:r>
      <w:r w:rsidR="00736D08" w:rsidRPr="00736D08">
        <w:t>Program 1100 DONOŠENJE AKATA I MJERA IZ DJELOKRUGA PREDSTAVNIČKOG I IZVRŠNOG TIJELA</w:t>
      </w:r>
      <w:r w:rsidR="00736D08">
        <w:t xml:space="preserve">, </w:t>
      </w:r>
      <w:r w:rsidR="00736D08" w:rsidRPr="00736D08">
        <w:t>Aktivnost A110001 Predstavničko i izvršna tijela</w:t>
      </w:r>
      <w:r w:rsidR="00736D08" w:rsidRPr="00736D08">
        <w:rPr>
          <w:b/>
          <w:bCs/>
        </w:rPr>
        <w:t xml:space="preserve"> </w:t>
      </w:r>
      <w:r w:rsidR="00736D08">
        <w:t xml:space="preserve"> za iznos od 36.300,00 eura na ime rashoda za zaposlene radi osiguranja potrebnog iznosa za isplatu plaće prijašnjem gradonačelniku dok se </w:t>
      </w:r>
      <w:r w:rsidR="00736D08" w:rsidRPr="00736D08">
        <w:t>Program 1103 MANIFESTACIJE</w:t>
      </w:r>
      <w:r w:rsidR="00736D08" w:rsidRPr="00736D08">
        <w:rPr>
          <w:rFonts w:ascii="Arial" w:hAnsi="Arial" w:cs="Arial"/>
          <w:b/>
          <w:bCs/>
          <w:sz w:val="18"/>
          <w:szCs w:val="18"/>
        </w:rPr>
        <w:t xml:space="preserve"> </w:t>
      </w:r>
      <w:r w:rsidR="00736D08" w:rsidRPr="00736D08">
        <w:rPr>
          <w:sz w:val="22"/>
          <w:szCs w:val="22"/>
        </w:rPr>
        <w:t>povećava za</w:t>
      </w:r>
      <w:r w:rsidR="00736D08">
        <w:rPr>
          <w:color w:val="auto"/>
        </w:rPr>
        <w:t xml:space="preserve"> 39.100,00 eura radi osiguranja dovoljnih sredstava za financiranje manifestacija Grada.</w:t>
      </w:r>
      <w:r w:rsidR="00736D08" w:rsidRPr="00736D08">
        <w:rPr>
          <w:color w:val="auto"/>
        </w:rPr>
        <w:t xml:space="preserve"> </w:t>
      </w:r>
    </w:p>
    <w:p w14:paraId="12FF8FC2" w14:textId="6CE613D2" w:rsidR="00DF6CAA" w:rsidRDefault="00DF6CAA" w:rsidP="00422465">
      <w:pPr>
        <w:tabs>
          <w:tab w:val="left" w:pos="567"/>
          <w:tab w:val="decimal" w:pos="7655"/>
        </w:tabs>
        <w:jc w:val="both"/>
      </w:pPr>
    </w:p>
    <w:p w14:paraId="619D1F7E" w14:textId="2082844B" w:rsidR="00665F83" w:rsidRPr="00665F83" w:rsidRDefault="00736D08" w:rsidP="00665F83">
      <w:pPr>
        <w:pStyle w:val="Default"/>
        <w:jc w:val="both"/>
        <w:rPr>
          <w:color w:val="auto"/>
        </w:rPr>
      </w:pPr>
      <w:r>
        <w:t xml:space="preserve">U </w:t>
      </w:r>
      <w:r w:rsidRPr="00736D08">
        <w:t>Razdjel</w:t>
      </w:r>
      <w:r w:rsidR="008555D5">
        <w:t>u</w:t>
      </w:r>
      <w:r w:rsidRPr="00736D08">
        <w:t xml:space="preserve"> 002 URED GRADA</w:t>
      </w:r>
      <w:r>
        <w:rPr>
          <w:rFonts w:ascii="Arial" w:hAnsi="Arial" w:cs="Arial"/>
          <w:sz w:val="18"/>
          <w:szCs w:val="18"/>
        </w:rPr>
        <w:t xml:space="preserve"> </w:t>
      </w:r>
      <w:r w:rsidRPr="00736D08">
        <w:t>Program 1201 OSTALI RASHODI GRADA</w:t>
      </w:r>
      <w:r>
        <w:rPr>
          <w:rFonts w:ascii="Arial" w:hAnsi="Arial" w:cs="Arial"/>
          <w:sz w:val="18"/>
          <w:szCs w:val="18"/>
        </w:rPr>
        <w:t xml:space="preserve"> </w:t>
      </w:r>
      <w:r w:rsidRPr="00736D08">
        <w:t>umanjuje se</w:t>
      </w:r>
      <w:r w:rsidR="00FE5535">
        <w:t xml:space="preserve"> ukupno</w:t>
      </w:r>
      <w:r w:rsidRPr="00736D08">
        <w:t xml:space="preserve"> za</w:t>
      </w:r>
      <w:r w:rsidR="00FE5535">
        <w:t xml:space="preserve"> 4.000,00 eura kao odnos umanjenja</w:t>
      </w:r>
      <w:r w:rsidR="0055774D">
        <w:t xml:space="preserve"> od</w:t>
      </w:r>
      <w:r w:rsidRPr="00736D08">
        <w:t xml:space="preserve"> 7.000,00 eur</w:t>
      </w:r>
      <w:r>
        <w:t>a koji iznos se odnosi na financiranje programa Potencijali zajednice i koji program se otvara u sklopu Razdjela Upravnog odjela za gospodarstvo</w:t>
      </w:r>
      <w:r w:rsidR="00FE5535">
        <w:t xml:space="preserve"> i povećanja u Aktivnosti </w:t>
      </w:r>
      <w:r w:rsidR="00FE5535" w:rsidRPr="00FE5535">
        <w:t>A120102 Sufinanciranje rada djelatnika i  ustanova</w:t>
      </w:r>
      <w:r w:rsidR="00FE5535">
        <w:t xml:space="preserve"> za iznos od 3.000,00 eura na ime financiranja obroka za djelatnike medicinskih timova i timova MUP-a. Za iznos od 3.000,00 eura umanjuje se </w:t>
      </w:r>
      <w:r w:rsidR="008555D5" w:rsidRPr="008555D5">
        <w:t>Program 1216 OČUVANJE I UNAPREĐENJE ZDRAVLJA</w:t>
      </w:r>
      <w:r w:rsidR="008555D5" w:rsidRPr="008555D5">
        <w:t xml:space="preserve">, </w:t>
      </w:r>
      <w:r w:rsidR="008555D5" w:rsidRPr="008555D5">
        <w:t>Aktivnost A121605 Rad timova hitne medicinske pomoći</w:t>
      </w:r>
      <w:r w:rsidR="008555D5">
        <w:t>.</w:t>
      </w:r>
      <w:r>
        <w:t xml:space="preserve"> </w:t>
      </w:r>
      <w:r w:rsidR="00665F83" w:rsidRPr="00665F83">
        <w:t>Program 1203 NABAVA I ODRŽAVANJE OPREME</w:t>
      </w:r>
      <w:r w:rsidR="00665F83">
        <w:rPr>
          <w:color w:val="auto"/>
        </w:rPr>
        <w:t xml:space="preserve"> povećava se za 67.000,00 eura radi potrebe nabave novih računalnih programa i održavanja službenih automobila.</w:t>
      </w:r>
      <w:r w:rsidR="00665F83" w:rsidRPr="00665F83">
        <w:rPr>
          <w:color w:val="auto"/>
        </w:rPr>
        <w:t xml:space="preserve"> Program 1214 ZAŠTITA I SPAŠAVANJE</w:t>
      </w:r>
      <w:r w:rsidR="00665F83">
        <w:rPr>
          <w:color w:val="auto"/>
        </w:rPr>
        <w:t xml:space="preserve"> povećava se za 20.000,00 eura radi povećanja iznosa financiranja DVD-a Pag.</w:t>
      </w:r>
    </w:p>
    <w:p w14:paraId="02AEF7BC" w14:textId="02F9A759" w:rsidR="00736D08" w:rsidRPr="00665F83" w:rsidRDefault="00736D08" w:rsidP="00736D08">
      <w:pPr>
        <w:pStyle w:val="Default"/>
        <w:jc w:val="both"/>
        <w:rPr>
          <w:color w:val="auto"/>
        </w:rPr>
      </w:pPr>
    </w:p>
    <w:p w14:paraId="1DC602AA" w14:textId="00584C63" w:rsidR="00665F83" w:rsidRPr="00665F83" w:rsidRDefault="00665F83" w:rsidP="00665F83">
      <w:pPr>
        <w:pStyle w:val="Default"/>
        <w:jc w:val="both"/>
      </w:pPr>
      <w:r w:rsidRPr="00665F83">
        <w:lastRenderedPageBreak/>
        <w:t>U Razdjelu 003 UPRAVNI ODJEL ZA PRORAČUN I FINANCIJE</w:t>
      </w:r>
      <w:r>
        <w:t xml:space="preserve"> </w:t>
      </w:r>
      <w:r w:rsidRPr="00665F83">
        <w:t xml:space="preserve">Program 1500 PRIPREMA I DONOŠENJE AKATA IZ DJELOKRUGA TIJELA </w:t>
      </w:r>
      <w:r>
        <w:t xml:space="preserve"> povećava se za 34.000,00 eura radi potrebe osiguranja sredstava za isplate sukladno kolektivnom ugovoru te novog zapošljavanja.</w:t>
      </w:r>
    </w:p>
    <w:p w14:paraId="1FA6CD1A" w14:textId="0C3A3605" w:rsidR="00665F83" w:rsidRPr="00665F83" w:rsidRDefault="00665F83" w:rsidP="00665F83">
      <w:pPr>
        <w:autoSpaceDE w:val="0"/>
        <w:autoSpaceDN w:val="0"/>
        <w:adjustRightInd w:val="0"/>
        <w:spacing w:after="0" w:line="240" w:lineRule="auto"/>
        <w:jc w:val="both"/>
      </w:pPr>
      <w:r w:rsidRPr="00665F83">
        <w:t xml:space="preserve"> </w:t>
      </w:r>
    </w:p>
    <w:p w14:paraId="3049122C" w14:textId="0F73199F" w:rsidR="009F7322" w:rsidRPr="009F7322" w:rsidRDefault="00665F83" w:rsidP="009F7322">
      <w:pPr>
        <w:pStyle w:val="Default"/>
        <w:jc w:val="both"/>
      </w:pPr>
      <w:r w:rsidRPr="00665F83">
        <w:t>U Razdjelu 004 UPRAVNI ODJEL ZA KOMUNALNI SUSTAV I IMOVINSKO PRAVNE POSLOVE, Program 1600 PRIPREMA I DONOŠENJE AKATA IZ DJELOKRUGA TIJELA, Aktivnost A160002 Odvjetničke i duge usluge</w:t>
      </w:r>
      <w:r>
        <w:t xml:space="preserve"> povećava se za 37.600,00 eura na ime povrata sredstava po  sudskoj nagodbi.</w:t>
      </w:r>
      <w:r w:rsidR="009F7322">
        <w:t xml:space="preserve"> </w:t>
      </w:r>
      <w:r w:rsidR="009F7322" w:rsidRPr="009F7322">
        <w:t>Program 1608 UPRAVLJANJE IMOVINOM</w:t>
      </w:r>
      <w:r w:rsidR="009F7322">
        <w:t xml:space="preserve"> </w:t>
      </w:r>
      <w:r w:rsidR="009F7322" w:rsidRPr="009F7322">
        <w:t xml:space="preserve">Kapitalni projekt K160801 Otkup i raspolaganje imovinom </w:t>
      </w:r>
      <w:r w:rsidR="009F7322">
        <w:t>povećava se za 343.026,00 eura na ome sredstava za financiranje dodatnih ulaganja.</w:t>
      </w:r>
    </w:p>
    <w:p w14:paraId="4FD9180D" w14:textId="7952F9E3" w:rsidR="00736D08" w:rsidRPr="00665F83" w:rsidRDefault="00736D08" w:rsidP="00422465">
      <w:pPr>
        <w:tabs>
          <w:tab w:val="left" w:pos="567"/>
          <w:tab w:val="decimal" w:pos="7655"/>
        </w:tabs>
        <w:jc w:val="both"/>
      </w:pPr>
    </w:p>
    <w:p w14:paraId="12CFD380" w14:textId="3F7549D8" w:rsidR="005523D8" w:rsidRPr="005523D8" w:rsidRDefault="009F7322" w:rsidP="005523D8">
      <w:pPr>
        <w:spacing w:before="13" w:line="260" w:lineRule="exact"/>
        <w:ind w:right="1"/>
        <w:jc w:val="both"/>
      </w:pPr>
      <w:r w:rsidRPr="009F7322">
        <w:rPr>
          <w:color w:val="000000"/>
        </w:rPr>
        <w:t>U Razdjelu 005 UPRAVNI ODJEL ZA PROSTORNO UREĐENJE I GOSPODARSTVO</w:t>
      </w:r>
      <w:r>
        <w:rPr>
          <w:color w:val="000000"/>
        </w:rPr>
        <w:t xml:space="preserve"> </w:t>
      </w:r>
      <w:r w:rsidRPr="009F7322">
        <w:t>Program 1700 PRIPREMA I DONOŠENJE AKATA IZ DJELOKRUGA TIJELA  povećava se za</w:t>
      </w:r>
      <w:r>
        <w:t xml:space="preserve"> 37.000,00 eura  na ime osiguranja sredstava za isplate sukladno kolektivnom ugovoru te novog zapošljavanja. </w:t>
      </w:r>
      <w:r w:rsidRPr="009F7322">
        <w:t>Program 1703 GOSPODARSTVO I TURIZAM</w:t>
      </w:r>
      <w:r w:rsidRPr="009F7322">
        <w:rPr>
          <w:b/>
          <w:bCs/>
        </w:rPr>
        <w:t xml:space="preserve"> </w:t>
      </w:r>
      <w:r>
        <w:t xml:space="preserve">povećava se za iznos od 32.900,00 eura pri čemu se </w:t>
      </w:r>
      <w:r w:rsidRPr="009F7322">
        <w:t>Aktivnost A170305 Sufinanciranje prog</w:t>
      </w:r>
      <w:r>
        <w:t>ra</w:t>
      </w:r>
      <w:r w:rsidRPr="009F7322">
        <w:t>ma Turističke zajednice</w:t>
      </w:r>
      <w:r>
        <w:t xml:space="preserve"> povećava za 35.000,00 eura, a </w:t>
      </w:r>
      <w:r w:rsidR="003741C3" w:rsidRPr="003741C3">
        <w:t>Aktivnost A170304 Zdravstveni turizam - valorizacija ljekovitog blata, uređenje područja "Lokunja"</w:t>
      </w:r>
      <w:r w:rsidR="003741C3">
        <w:rPr>
          <w:b/>
          <w:bCs/>
        </w:rPr>
        <w:t xml:space="preserve"> </w:t>
      </w:r>
      <w:r w:rsidR="003741C3" w:rsidRPr="003741C3">
        <w:t>umanjuje za 2.100,00 eura.</w:t>
      </w:r>
      <w:r w:rsidR="003741C3" w:rsidRPr="003741C3">
        <w:rPr>
          <w:b/>
          <w:bCs/>
        </w:rPr>
        <w:t xml:space="preserve"> </w:t>
      </w:r>
      <w:r w:rsidRPr="009F7322">
        <w:t xml:space="preserve"> </w:t>
      </w:r>
      <w:r w:rsidR="003741C3">
        <w:t xml:space="preserve">U sklopu </w:t>
      </w:r>
      <w:r w:rsidRPr="009F7322">
        <w:t xml:space="preserve"> </w:t>
      </w:r>
      <w:r w:rsidR="003741C3" w:rsidRPr="003741C3">
        <w:t>Program</w:t>
      </w:r>
      <w:r w:rsidR="003741C3">
        <w:t>a</w:t>
      </w:r>
      <w:r w:rsidR="003741C3" w:rsidRPr="003741C3">
        <w:t xml:space="preserve"> 1704 UREĐENJE I GRADNJA JAVNO PROMETNIH POVRŠINA </w:t>
      </w:r>
      <w:r w:rsidR="003741C3">
        <w:t xml:space="preserve"> </w:t>
      </w:r>
      <w:r w:rsidR="003741C3" w:rsidRPr="003741C3">
        <w:t xml:space="preserve">Kapitalni projekt K170401 Projekti prometnih površina </w:t>
      </w:r>
      <w:r w:rsidR="003741C3">
        <w:t xml:space="preserve"> povećava se za 30.000,00 eura radi izrade studija, zatim </w:t>
      </w:r>
      <w:r w:rsidR="003741C3" w:rsidRPr="003741C3">
        <w:t xml:space="preserve">Kapitalni projekt K170404 Uređenje luka na području Grada Paga </w:t>
      </w:r>
      <w:r w:rsidR="003741C3">
        <w:t xml:space="preserve">povećava se za 58.000,00 eura radi financiranja priključka električne energije, </w:t>
      </w:r>
      <w:r w:rsidR="003741C3" w:rsidRPr="003741C3">
        <w:t>Kapitalni projekt K170408 Uređenje prostora Uhlinac</w:t>
      </w:r>
      <w:r w:rsidR="003741C3">
        <w:t xml:space="preserve"> povećava se za 9.200,00 eura radi osiguranja sredstava za završetak uređenja fontane, </w:t>
      </w:r>
      <w:r w:rsidR="003741C3" w:rsidRPr="003741C3">
        <w:t>Kapitalni projekt K170411 Postavljanje i uređenje dječjih igrališta</w:t>
      </w:r>
      <w:r w:rsidR="003741C3">
        <w:t xml:space="preserve"> povećava se za 23.200,00 eura što predstavlja odobreni iznos bespovratnih sredstava, </w:t>
      </w:r>
      <w:r w:rsidR="003741C3" w:rsidRPr="003741C3">
        <w:t xml:space="preserve">Kapitalni projekt K170412 Opremanje javnih površina </w:t>
      </w:r>
      <w:r w:rsidR="003741C3">
        <w:t xml:space="preserve">povećava se za 15.000,00 eura radi osiguranja sredstava za postavljanje rampe na ulazu u gradsku jezgru, </w:t>
      </w:r>
      <w:r w:rsidR="003741C3" w:rsidRPr="003741C3">
        <w:t>Kapitalni projekt K170416 Sanacija opasnih mjesta na prometnicama</w:t>
      </w:r>
      <w:r w:rsidR="003741C3">
        <w:t xml:space="preserve"> povećava se za 12.100,00 eura radi osiguranja po</w:t>
      </w:r>
      <w:r w:rsidR="005523D8">
        <w:t>t</w:t>
      </w:r>
      <w:r w:rsidR="003741C3">
        <w:t>rebnih sre</w:t>
      </w:r>
      <w:r w:rsidR="005523D8">
        <w:t xml:space="preserve">dstava prema ugovoru o sufinanciranju. U </w:t>
      </w:r>
      <w:r w:rsidR="005523D8" w:rsidRPr="005523D8">
        <w:t>Programu 1705 UREĐENJE I GRADNJA JAVNIH OBJEKATA I PROSTORA GRADA Kapitalni projekt K170505 Uređenje Doma kulture Pag</w:t>
      </w:r>
      <w:r w:rsidR="005523D8">
        <w:t xml:space="preserve"> povećava se za 150.000,00 eura radi evidentiranja sredstava pomoći i osiguranja potrebnih sredstava sukladno ugovoru o sufinanciranju. U </w:t>
      </w:r>
      <w:r w:rsidR="005523D8" w:rsidRPr="005523D8">
        <w:t xml:space="preserve">Programu 1707 GRAĐENJE GRAĐEVINA ZA GOSPODARENJE KOMUNALNIM OTPADOM Kapitalni projekt K170701 Izgradnja plohe i sortirnice </w:t>
      </w:r>
      <w:r w:rsidR="005523D8">
        <w:t>povećava se za 181.000,00 eura radi osiguranja potrebnih dodatnih sredstava</w:t>
      </w:r>
      <w:r w:rsidR="005523D8" w:rsidRPr="005523D8">
        <w:t>.</w:t>
      </w:r>
      <w:r w:rsidR="005523D8">
        <w:t xml:space="preserve"> </w:t>
      </w:r>
      <w:r w:rsidR="005523D8" w:rsidRPr="005523D8">
        <w:t xml:space="preserve">Naručitelj Grad Pag je u sklopu projekta </w:t>
      </w:r>
      <w:r w:rsidR="005523D8" w:rsidRPr="005523D8">
        <w:rPr>
          <w:spacing w:val="13"/>
        </w:rPr>
        <w:t>Izgradnja I opremanje postrojenja za sortiranje odvojeno sakupljenog otpadnog papira,</w:t>
      </w:r>
      <w:r w:rsidR="005523D8">
        <w:rPr>
          <w:spacing w:val="13"/>
        </w:rPr>
        <w:t xml:space="preserve"> </w:t>
      </w:r>
      <w:r w:rsidR="005523D8" w:rsidRPr="005523D8">
        <w:rPr>
          <w:spacing w:val="13"/>
        </w:rPr>
        <w:t>kartona, metala, pl</w:t>
      </w:r>
      <w:r w:rsidR="005523D8">
        <w:rPr>
          <w:spacing w:val="13"/>
        </w:rPr>
        <w:t>a</w:t>
      </w:r>
      <w:r w:rsidR="005523D8" w:rsidRPr="005523D8">
        <w:rPr>
          <w:spacing w:val="13"/>
        </w:rPr>
        <w:t>stike I drugih materijala u Pagu</w:t>
      </w:r>
      <w:r w:rsidR="005523D8" w:rsidRPr="005523D8">
        <w:t>,</w:t>
      </w:r>
      <w:r w:rsidR="005523D8" w:rsidRPr="005523D8">
        <w:rPr>
          <w:spacing w:val="-12"/>
        </w:rPr>
        <w:t xml:space="preserve"> </w:t>
      </w:r>
      <w:r w:rsidR="005523D8" w:rsidRPr="005523D8">
        <w:t>ko</w:t>
      </w:r>
      <w:r w:rsidR="005523D8" w:rsidRPr="005523D8">
        <w:rPr>
          <w:spacing w:val="5"/>
        </w:rPr>
        <w:t>j</w:t>
      </w:r>
      <w:r w:rsidR="005523D8" w:rsidRPr="005523D8">
        <w:t>i</w:t>
      </w:r>
      <w:r w:rsidR="005523D8" w:rsidRPr="005523D8">
        <w:rPr>
          <w:spacing w:val="-19"/>
        </w:rPr>
        <w:t xml:space="preserve"> </w:t>
      </w:r>
      <w:r w:rsidR="005523D8" w:rsidRPr="005523D8">
        <w:rPr>
          <w:spacing w:val="5"/>
        </w:rPr>
        <w:t>j</w:t>
      </w:r>
      <w:r w:rsidR="005523D8" w:rsidRPr="005523D8">
        <w:t>e</w:t>
      </w:r>
      <w:r w:rsidR="005523D8" w:rsidRPr="005523D8">
        <w:rPr>
          <w:spacing w:val="-11"/>
        </w:rPr>
        <w:t xml:space="preserve"> </w:t>
      </w:r>
      <w:r w:rsidR="005523D8" w:rsidRPr="005523D8">
        <w:rPr>
          <w:spacing w:val="2"/>
        </w:rPr>
        <w:t>s</w:t>
      </w:r>
      <w:r w:rsidR="005523D8" w:rsidRPr="005523D8">
        <w:t>u</w:t>
      </w:r>
      <w:r w:rsidR="005523D8" w:rsidRPr="005523D8">
        <w:rPr>
          <w:spacing w:val="4"/>
        </w:rPr>
        <w:t>f</w:t>
      </w:r>
      <w:r w:rsidR="005523D8" w:rsidRPr="005523D8">
        <w:rPr>
          <w:spacing w:val="5"/>
        </w:rPr>
        <w:t>i</w:t>
      </w:r>
      <w:r w:rsidR="005523D8" w:rsidRPr="005523D8">
        <w:t>n</w:t>
      </w:r>
      <w:r w:rsidR="005523D8" w:rsidRPr="005523D8">
        <w:rPr>
          <w:spacing w:val="1"/>
        </w:rPr>
        <w:t>a</w:t>
      </w:r>
      <w:r w:rsidR="005523D8" w:rsidRPr="005523D8">
        <w:t>n</w:t>
      </w:r>
      <w:r w:rsidR="005523D8" w:rsidRPr="005523D8">
        <w:rPr>
          <w:spacing w:val="1"/>
        </w:rPr>
        <w:t>c</w:t>
      </w:r>
      <w:r w:rsidR="005523D8" w:rsidRPr="005523D8">
        <w:rPr>
          <w:spacing w:val="5"/>
        </w:rPr>
        <w:t>i</w:t>
      </w:r>
      <w:r w:rsidR="005523D8" w:rsidRPr="005523D8">
        <w:rPr>
          <w:spacing w:val="4"/>
        </w:rPr>
        <w:t>r</w:t>
      </w:r>
      <w:r w:rsidR="005523D8" w:rsidRPr="005523D8">
        <w:rPr>
          <w:spacing w:val="1"/>
        </w:rPr>
        <w:t>a</w:t>
      </w:r>
      <w:r w:rsidR="005523D8" w:rsidRPr="005523D8">
        <w:t>n</w:t>
      </w:r>
      <w:r w:rsidR="005523D8" w:rsidRPr="005523D8">
        <w:rPr>
          <w:spacing w:val="-24"/>
        </w:rPr>
        <w:t xml:space="preserve"> </w:t>
      </w:r>
      <w:r w:rsidR="005523D8" w:rsidRPr="005523D8">
        <w:t>pu</w:t>
      </w:r>
      <w:r w:rsidR="005523D8" w:rsidRPr="005523D8">
        <w:rPr>
          <w:spacing w:val="5"/>
        </w:rPr>
        <w:t>t</w:t>
      </w:r>
      <w:r w:rsidR="005523D8" w:rsidRPr="005523D8">
        <w:rPr>
          <w:spacing w:val="1"/>
        </w:rPr>
        <w:t>e</w:t>
      </w:r>
      <w:r w:rsidR="005523D8" w:rsidRPr="005523D8">
        <w:t>m</w:t>
      </w:r>
      <w:r w:rsidR="005523D8" w:rsidRPr="005523D8">
        <w:rPr>
          <w:spacing w:val="-19"/>
        </w:rPr>
        <w:t xml:space="preserve"> </w:t>
      </w:r>
      <w:r w:rsidR="005523D8" w:rsidRPr="005523D8">
        <w:rPr>
          <w:spacing w:val="-5"/>
        </w:rPr>
        <w:t>N</w:t>
      </w:r>
      <w:r w:rsidR="005523D8" w:rsidRPr="005523D8">
        <w:rPr>
          <w:spacing w:val="1"/>
        </w:rPr>
        <w:t>ac</w:t>
      </w:r>
      <w:r w:rsidR="005523D8" w:rsidRPr="005523D8">
        <w:rPr>
          <w:spacing w:val="5"/>
        </w:rPr>
        <w:t>i</w:t>
      </w:r>
      <w:r w:rsidR="005523D8" w:rsidRPr="005523D8">
        <w:t>on</w:t>
      </w:r>
      <w:r w:rsidR="005523D8" w:rsidRPr="005523D8">
        <w:rPr>
          <w:spacing w:val="1"/>
        </w:rPr>
        <w:t>a</w:t>
      </w:r>
      <w:r w:rsidR="005523D8" w:rsidRPr="005523D8">
        <w:rPr>
          <w:spacing w:val="5"/>
        </w:rPr>
        <w:t>l</w:t>
      </w:r>
      <w:r w:rsidR="005523D8" w:rsidRPr="005523D8">
        <w:t>nog</w:t>
      </w:r>
      <w:r w:rsidR="005523D8" w:rsidRPr="005523D8">
        <w:rPr>
          <w:spacing w:val="-24"/>
        </w:rPr>
        <w:t xml:space="preserve"> </w:t>
      </w:r>
      <w:r w:rsidR="005523D8" w:rsidRPr="005523D8">
        <w:t>p</w:t>
      </w:r>
      <w:r w:rsidR="005523D8" w:rsidRPr="005523D8">
        <w:rPr>
          <w:spacing w:val="4"/>
        </w:rPr>
        <w:t>r</w:t>
      </w:r>
      <w:r w:rsidR="005523D8" w:rsidRPr="005523D8">
        <w:t>og</w:t>
      </w:r>
      <w:r w:rsidR="005523D8" w:rsidRPr="005523D8">
        <w:rPr>
          <w:spacing w:val="4"/>
        </w:rPr>
        <w:t>r</w:t>
      </w:r>
      <w:r w:rsidR="005523D8" w:rsidRPr="005523D8">
        <w:rPr>
          <w:spacing w:val="1"/>
        </w:rPr>
        <w:t>a</w:t>
      </w:r>
      <w:r w:rsidR="005523D8" w:rsidRPr="005523D8">
        <w:rPr>
          <w:spacing w:val="5"/>
        </w:rPr>
        <w:t>m</w:t>
      </w:r>
      <w:r w:rsidR="005523D8" w:rsidRPr="005523D8">
        <w:t>a</w:t>
      </w:r>
      <w:r w:rsidR="005523D8" w:rsidRPr="005523D8">
        <w:rPr>
          <w:spacing w:val="-23"/>
        </w:rPr>
        <w:t xml:space="preserve"> </w:t>
      </w:r>
      <w:r w:rsidR="005523D8" w:rsidRPr="005523D8">
        <w:t>opo</w:t>
      </w:r>
      <w:r w:rsidR="005523D8" w:rsidRPr="005523D8">
        <w:rPr>
          <w:spacing w:val="4"/>
        </w:rPr>
        <w:t>r</w:t>
      </w:r>
      <w:r w:rsidR="005523D8" w:rsidRPr="005523D8">
        <w:rPr>
          <w:spacing w:val="1"/>
        </w:rPr>
        <w:t>a</w:t>
      </w:r>
      <w:r w:rsidR="005523D8" w:rsidRPr="005523D8">
        <w:t>vka</w:t>
      </w:r>
      <w:r w:rsidR="005523D8" w:rsidRPr="005523D8">
        <w:rPr>
          <w:spacing w:val="-23"/>
        </w:rPr>
        <w:t xml:space="preserve"> </w:t>
      </w:r>
      <w:r w:rsidR="005523D8" w:rsidRPr="005523D8">
        <w:t>i</w:t>
      </w:r>
      <w:r w:rsidR="005523D8" w:rsidRPr="005523D8">
        <w:rPr>
          <w:spacing w:val="-19"/>
        </w:rPr>
        <w:t xml:space="preserve"> </w:t>
      </w:r>
      <w:r w:rsidR="005523D8" w:rsidRPr="005523D8">
        <w:t>o</w:t>
      </w:r>
      <w:r w:rsidR="005523D8" w:rsidRPr="005523D8">
        <w:rPr>
          <w:spacing w:val="5"/>
        </w:rPr>
        <w:t>t</w:t>
      </w:r>
      <w:r w:rsidR="005523D8" w:rsidRPr="005523D8">
        <w:t>po</w:t>
      </w:r>
      <w:r w:rsidR="005523D8" w:rsidRPr="005523D8">
        <w:rPr>
          <w:spacing w:val="4"/>
        </w:rPr>
        <w:t>r</w:t>
      </w:r>
      <w:r w:rsidR="005523D8" w:rsidRPr="005523D8">
        <w:t>no</w:t>
      </w:r>
      <w:r w:rsidR="005523D8" w:rsidRPr="005523D8">
        <w:rPr>
          <w:spacing w:val="2"/>
        </w:rPr>
        <w:t>s</w:t>
      </w:r>
      <w:r w:rsidR="005523D8" w:rsidRPr="005523D8">
        <w:rPr>
          <w:spacing w:val="5"/>
        </w:rPr>
        <w:t>t</w:t>
      </w:r>
      <w:r w:rsidR="005523D8" w:rsidRPr="005523D8">
        <w:t>i</w:t>
      </w:r>
      <w:r w:rsidR="005523D8" w:rsidRPr="005523D8">
        <w:rPr>
          <w:spacing w:val="-19"/>
        </w:rPr>
        <w:t xml:space="preserve"> </w:t>
      </w:r>
      <w:r w:rsidR="005523D8" w:rsidRPr="005523D8">
        <w:t xml:space="preserve">2021.-2026. </w:t>
      </w:r>
      <w:r w:rsidR="005523D8" w:rsidRPr="005523D8">
        <w:rPr>
          <w:spacing w:val="12"/>
        </w:rPr>
        <w:t xml:space="preserve"> </w:t>
      </w:r>
      <w:r w:rsidR="005523D8" w:rsidRPr="005523D8">
        <w:rPr>
          <w:spacing w:val="4"/>
        </w:rPr>
        <w:t>(</w:t>
      </w:r>
      <w:r w:rsidR="005523D8" w:rsidRPr="005523D8">
        <w:rPr>
          <w:spacing w:val="-5"/>
        </w:rPr>
        <w:t>N</w:t>
      </w:r>
      <w:r w:rsidR="005523D8" w:rsidRPr="005523D8">
        <w:rPr>
          <w:spacing w:val="-1"/>
        </w:rPr>
        <w:t>P</w:t>
      </w:r>
      <w:r w:rsidR="005523D8" w:rsidRPr="005523D8">
        <w:rPr>
          <w:spacing w:val="-5"/>
        </w:rPr>
        <w:t>OO</w:t>
      </w:r>
      <w:r w:rsidR="005523D8" w:rsidRPr="005523D8">
        <w:t xml:space="preserve">) </w:t>
      </w:r>
      <w:r w:rsidR="005523D8" w:rsidRPr="005523D8">
        <w:rPr>
          <w:spacing w:val="16"/>
        </w:rPr>
        <w:t xml:space="preserve"> </w:t>
      </w:r>
      <w:r w:rsidR="005523D8" w:rsidRPr="005523D8">
        <w:rPr>
          <w:spacing w:val="5"/>
        </w:rPr>
        <w:t>t</w:t>
      </w:r>
      <w:r w:rsidR="005523D8" w:rsidRPr="005523D8">
        <w:rPr>
          <w:spacing w:val="1"/>
        </w:rPr>
        <w:t>e</w:t>
      </w:r>
      <w:r w:rsidR="005523D8" w:rsidRPr="005523D8">
        <w:rPr>
          <w:spacing w:val="5"/>
        </w:rPr>
        <w:t>m</w:t>
      </w:r>
      <w:r w:rsidR="005523D8" w:rsidRPr="005523D8">
        <w:rPr>
          <w:spacing w:val="1"/>
        </w:rPr>
        <w:t>e</w:t>
      </w:r>
      <w:r w:rsidR="005523D8" w:rsidRPr="005523D8">
        <w:rPr>
          <w:spacing w:val="5"/>
        </w:rPr>
        <w:t>lj</w:t>
      </w:r>
      <w:r w:rsidR="005523D8" w:rsidRPr="005523D8">
        <w:rPr>
          <w:spacing w:val="1"/>
        </w:rPr>
        <w:t>e</w:t>
      </w:r>
      <w:r w:rsidR="005523D8" w:rsidRPr="005523D8">
        <w:t>m</w:t>
      </w:r>
      <w:r w:rsidR="005523D8" w:rsidRPr="005523D8">
        <w:rPr>
          <w:spacing w:val="41"/>
        </w:rPr>
        <w:t xml:space="preserve"> </w:t>
      </w:r>
      <w:r w:rsidR="005523D8" w:rsidRPr="005523D8">
        <w:t>p</w:t>
      </w:r>
      <w:r w:rsidR="005523D8" w:rsidRPr="005523D8">
        <w:rPr>
          <w:spacing w:val="4"/>
        </w:rPr>
        <w:t>r</w:t>
      </w:r>
      <w:r w:rsidR="005523D8" w:rsidRPr="005523D8">
        <w:t>ov</w:t>
      </w:r>
      <w:r w:rsidR="005523D8" w:rsidRPr="005523D8">
        <w:rPr>
          <w:spacing w:val="1"/>
        </w:rPr>
        <w:t>e</w:t>
      </w:r>
      <w:r w:rsidR="005523D8" w:rsidRPr="005523D8">
        <w:t>d</w:t>
      </w:r>
      <w:r w:rsidR="005523D8" w:rsidRPr="005523D8">
        <w:rPr>
          <w:spacing w:val="1"/>
        </w:rPr>
        <w:t>e</w:t>
      </w:r>
      <w:r w:rsidR="005523D8" w:rsidRPr="005523D8">
        <w:t xml:space="preserve">nog  </w:t>
      </w:r>
      <w:r w:rsidR="005523D8" w:rsidRPr="005523D8">
        <w:rPr>
          <w:spacing w:val="5"/>
        </w:rPr>
        <w:t>j</w:t>
      </w:r>
      <w:r w:rsidR="005523D8" w:rsidRPr="005523D8">
        <w:rPr>
          <w:spacing w:val="1"/>
        </w:rPr>
        <w:t>a</w:t>
      </w:r>
      <w:r w:rsidR="005523D8" w:rsidRPr="005523D8">
        <w:t>vnog  po</w:t>
      </w:r>
      <w:r w:rsidR="005523D8" w:rsidRPr="005523D8">
        <w:rPr>
          <w:spacing w:val="1"/>
        </w:rPr>
        <w:t>z</w:t>
      </w:r>
      <w:r w:rsidR="005523D8" w:rsidRPr="005523D8">
        <w:rPr>
          <w:spacing w:val="5"/>
        </w:rPr>
        <w:t>i</w:t>
      </w:r>
      <w:r w:rsidR="005523D8" w:rsidRPr="005523D8">
        <w:t xml:space="preserve">va </w:t>
      </w:r>
      <w:r w:rsidR="005523D8" w:rsidRPr="005523D8">
        <w:rPr>
          <w:spacing w:val="1"/>
        </w:rPr>
        <w:t xml:space="preserve"> </w:t>
      </w:r>
      <w:r w:rsidR="005523D8" w:rsidRPr="005523D8">
        <w:t>b</w:t>
      </w:r>
      <w:r w:rsidR="005523D8" w:rsidRPr="005523D8">
        <w:rPr>
          <w:spacing w:val="4"/>
        </w:rPr>
        <w:t>r</w:t>
      </w:r>
      <w:r w:rsidR="005523D8" w:rsidRPr="005523D8">
        <w:t>o</w:t>
      </w:r>
      <w:r w:rsidR="005523D8" w:rsidRPr="005523D8">
        <w:rPr>
          <w:spacing w:val="5"/>
        </w:rPr>
        <w:t>j</w:t>
      </w:r>
      <w:r w:rsidR="005523D8" w:rsidRPr="005523D8">
        <w:t>:</w:t>
      </w:r>
      <w:r w:rsidR="005523D8" w:rsidRPr="005523D8">
        <w:rPr>
          <w:spacing w:val="53"/>
        </w:rPr>
        <w:t xml:space="preserve"> </w:t>
      </w:r>
      <w:r w:rsidR="005523D8" w:rsidRPr="005523D8">
        <w:rPr>
          <w:spacing w:val="-4"/>
        </w:rPr>
        <w:t>NPOO.C1.3.R2-I1.05</w:t>
      </w:r>
      <w:r w:rsidR="005523D8" w:rsidRPr="005523D8">
        <w:t xml:space="preserve"> </w:t>
      </w:r>
      <w:r w:rsidR="005523D8" w:rsidRPr="005523D8">
        <w:rPr>
          <w:spacing w:val="12"/>
        </w:rPr>
        <w:t xml:space="preserve"> </w:t>
      </w:r>
      <w:r w:rsidR="005523D8" w:rsidRPr="005523D8">
        <w:t xml:space="preserve">i </w:t>
      </w:r>
      <w:r w:rsidR="005523D8" w:rsidRPr="005523D8">
        <w:rPr>
          <w:spacing w:val="5"/>
        </w:rPr>
        <w:t xml:space="preserve"> </w:t>
      </w:r>
      <w:r w:rsidR="005523D8" w:rsidRPr="005523D8">
        <w:rPr>
          <w:spacing w:val="2"/>
        </w:rPr>
        <w:t>s</w:t>
      </w:r>
      <w:r w:rsidR="005523D8" w:rsidRPr="005523D8">
        <w:t>k</w:t>
      </w:r>
      <w:r w:rsidR="005523D8" w:rsidRPr="005523D8">
        <w:rPr>
          <w:spacing w:val="5"/>
        </w:rPr>
        <w:t>l</w:t>
      </w:r>
      <w:r w:rsidR="005523D8" w:rsidRPr="005523D8">
        <w:t>op</w:t>
      </w:r>
      <w:r w:rsidR="005523D8" w:rsidRPr="005523D8">
        <w:rPr>
          <w:spacing w:val="5"/>
        </w:rPr>
        <w:t>lj</w:t>
      </w:r>
      <w:r w:rsidR="005523D8" w:rsidRPr="005523D8">
        <w:rPr>
          <w:spacing w:val="1"/>
        </w:rPr>
        <w:t>e</w:t>
      </w:r>
      <w:r w:rsidR="005523D8" w:rsidRPr="005523D8">
        <w:t>n</w:t>
      </w:r>
      <w:r w:rsidR="005523D8" w:rsidRPr="005523D8">
        <w:rPr>
          <w:spacing w:val="-12"/>
        </w:rPr>
        <w:t>o</w:t>
      </w:r>
      <w:r w:rsidR="005523D8" w:rsidRPr="005523D8">
        <w:t xml:space="preserve">g </w:t>
      </w:r>
      <w:r w:rsidR="005523D8" w:rsidRPr="005523D8">
        <w:rPr>
          <w:spacing w:val="-5"/>
        </w:rPr>
        <w:t>U</w:t>
      </w:r>
      <w:r w:rsidR="005523D8" w:rsidRPr="005523D8">
        <w:t>govo</w:t>
      </w:r>
      <w:r w:rsidR="005523D8" w:rsidRPr="005523D8">
        <w:rPr>
          <w:spacing w:val="4"/>
        </w:rPr>
        <w:t>r</w:t>
      </w:r>
      <w:r w:rsidR="005523D8" w:rsidRPr="005523D8">
        <w:t>a</w:t>
      </w:r>
      <w:r w:rsidR="005523D8" w:rsidRPr="005523D8">
        <w:rPr>
          <w:spacing w:val="1"/>
        </w:rPr>
        <w:t xml:space="preserve"> </w:t>
      </w:r>
      <w:r w:rsidR="005523D8" w:rsidRPr="005523D8">
        <w:t>o dod</w:t>
      </w:r>
      <w:r w:rsidR="005523D8" w:rsidRPr="005523D8">
        <w:rPr>
          <w:spacing w:val="5"/>
        </w:rPr>
        <w:t>j</w:t>
      </w:r>
      <w:r w:rsidR="005523D8" w:rsidRPr="005523D8">
        <w:rPr>
          <w:spacing w:val="1"/>
        </w:rPr>
        <w:t>e</w:t>
      </w:r>
      <w:r w:rsidR="005523D8" w:rsidRPr="005523D8">
        <w:rPr>
          <w:spacing w:val="5"/>
        </w:rPr>
        <w:t>l</w:t>
      </w:r>
      <w:r w:rsidR="005523D8" w:rsidRPr="005523D8">
        <w:t>i</w:t>
      </w:r>
      <w:r w:rsidR="005523D8" w:rsidRPr="005523D8">
        <w:rPr>
          <w:spacing w:val="5"/>
        </w:rPr>
        <w:t xml:space="preserve"> </w:t>
      </w:r>
      <w:r w:rsidR="005523D8" w:rsidRPr="005523D8">
        <w:t>b</w:t>
      </w:r>
      <w:r w:rsidR="005523D8" w:rsidRPr="005523D8">
        <w:rPr>
          <w:spacing w:val="1"/>
        </w:rPr>
        <w:t>e</w:t>
      </w:r>
      <w:r w:rsidR="005523D8" w:rsidRPr="005523D8">
        <w:rPr>
          <w:spacing w:val="2"/>
        </w:rPr>
        <w:t>s</w:t>
      </w:r>
      <w:r w:rsidR="005523D8" w:rsidRPr="005523D8">
        <w:t>pov</w:t>
      </w:r>
      <w:r w:rsidR="005523D8" w:rsidRPr="005523D8">
        <w:rPr>
          <w:spacing w:val="4"/>
        </w:rPr>
        <w:t>r</w:t>
      </w:r>
      <w:r w:rsidR="005523D8" w:rsidRPr="005523D8">
        <w:rPr>
          <w:spacing w:val="1"/>
        </w:rPr>
        <w:t>a</w:t>
      </w:r>
      <w:r w:rsidR="005523D8" w:rsidRPr="005523D8">
        <w:rPr>
          <w:spacing w:val="5"/>
        </w:rPr>
        <w:t>t</w:t>
      </w:r>
      <w:r w:rsidR="005523D8" w:rsidRPr="005523D8">
        <w:t>n</w:t>
      </w:r>
      <w:r w:rsidR="005523D8" w:rsidRPr="005523D8">
        <w:rPr>
          <w:spacing w:val="5"/>
        </w:rPr>
        <w:t>i</w:t>
      </w:r>
      <w:r w:rsidR="005523D8" w:rsidRPr="005523D8">
        <w:t xml:space="preserve">h </w:t>
      </w:r>
      <w:r w:rsidR="005523D8" w:rsidRPr="005523D8">
        <w:rPr>
          <w:spacing w:val="2"/>
        </w:rPr>
        <w:t>s</w:t>
      </w:r>
      <w:r w:rsidR="005523D8" w:rsidRPr="005523D8">
        <w:rPr>
          <w:spacing w:val="4"/>
        </w:rPr>
        <w:t>r</w:t>
      </w:r>
      <w:r w:rsidR="005523D8" w:rsidRPr="005523D8">
        <w:rPr>
          <w:spacing w:val="1"/>
        </w:rPr>
        <w:t>e</w:t>
      </w:r>
      <w:r w:rsidR="005523D8" w:rsidRPr="005523D8">
        <w:t>d</w:t>
      </w:r>
      <w:r w:rsidR="005523D8" w:rsidRPr="005523D8">
        <w:rPr>
          <w:spacing w:val="2"/>
        </w:rPr>
        <w:t>s</w:t>
      </w:r>
      <w:r w:rsidR="005523D8" w:rsidRPr="005523D8">
        <w:rPr>
          <w:spacing w:val="5"/>
        </w:rPr>
        <w:t>t</w:t>
      </w:r>
      <w:r w:rsidR="005523D8" w:rsidRPr="005523D8">
        <w:rPr>
          <w:spacing w:val="1"/>
        </w:rPr>
        <w:t>a</w:t>
      </w:r>
      <w:r w:rsidR="005523D8" w:rsidRPr="005523D8">
        <w:t>va</w:t>
      </w:r>
      <w:r w:rsidR="005523D8" w:rsidRPr="005523D8">
        <w:rPr>
          <w:spacing w:val="1"/>
        </w:rPr>
        <w:t xml:space="preserve"> </w:t>
      </w:r>
      <w:r w:rsidR="005523D8" w:rsidRPr="005523D8">
        <w:t>kodni</w:t>
      </w:r>
      <w:r w:rsidR="005523D8" w:rsidRPr="005523D8">
        <w:rPr>
          <w:spacing w:val="5"/>
        </w:rPr>
        <w:t xml:space="preserve"> </w:t>
      </w:r>
      <w:r w:rsidR="005523D8" w:rsidRPr="005523D8">
        <w:t>b</w:t>
      </w:r>
      <w:r w:rsidR="005523D8" w:rsidRPr="005523D8">
        <w:rPr>
          <w:spacing w:val="4"/>
        </w:rPr>
        <w:t>r</w:t>
      </w:r>
      <w:r w:rsidR="005523D8" w:rsidRPr="005523D8">
        <w:t>o</w:t>
      </w:r>
      <w:r w:rsidR="005523D8" w:rsidRPr="005523D8">
        <w:rPr>
          <w:spacing w:val="5"/>
        </w:rPr>
        <w:t>j</w:t>
      </w:r>
      <w:r w:rsidR="005523D8" w:rsidRPr="005523D8">
        <w:t>:</w:t>
      </w:r>
      <w:r w:rsidR="005523D8" w:rsidRPr="005523D8">
        <w:rPr>
          <w:spacing w:val="5"/>
        </w:rPr>
        <w:t xml:space="preserve"> </w:t>
      </w:r>
      <w:r w:rsidR="005523D8" w:rsidRPr="005523D8">
        <w:rPr>
          <w:spacing w:val="-5"/>
        </w:rPr>
        <w:t>N</w:t>
      </w:r>
      <w:r w:rsidR="005523D8" w:rsidRPr="005523D8">
        <w:rPr>
          <w:spacing w:val="-1"/>
        </w:rPr>
        <w:t>P</w:t>
      </w:r>
      <w:r w:rsidR="005523D8" w:rsidRPr="005523D8">
        <w:rPr>
          <w:spacing w:val="-5"/>
        </w:rPr>
        <w:t>OO</w:t>
      </w:r>
      <w:r w:rsidR="005523D8" w:rsidRPr="005523D8">
        <w:t>.</w:t>
      </w:r>
      <w:r w:rsidR="005523D8" w:rsidRPr="005523D8">
        <w:rPr>
          <w:spacing w:val="-4"/>
        </w:rPr>
        <w:t>C</w:t>
      </w:r>
      <w:r w:rsidR="005523D8" w:rsidRPr="005523D8">
        <w:t>1.3.</w:t>
      </w:r>
      <w:r w:rsidR="005523D8" w:rsidRPr="005523D8">
        <w:rPr>
          <w:spacing w:val="-4"/>
        </w:rPr>
        <w:t>R</w:t>
      </w:r>
      <w:r w:rsidR="005523D8" w:rsidRPr="005523D8">
        <w:rPr>
          <w:spacing w:val="12"/>
        </w:rPr>
        <w:t>2</w:t>
      </w:r>
      <w:r w:rsidR="005523D8" w:rsidRPr="005523D8">
        <w:rPr>
          <w:spacing w:val="4"/>
        </w:rPr>
        <w:t>-</w:t>
      </w:r>
      <w:r w:rsidR="005523D8" w:rsidRPr="005523D8">
        <w:rPr>
          <w:spacing w:val="-8"/>
        </w:rPr>
        <w:t>I</w:t>
      </w:r>
      <w:r w:rsidR="005523D8" w:rsidRPr="005523D8">
        <w:t>1.05.0002 pokrenuo postupak javne nabave dana 10.02.2025.gid pod evidencijskim brojem 14/25, broj objave iz Elektroničkog oglasnika javne nabave 2025/S-F02-001212.</w:t>
      </w:r>
    </w:p>
    <w:p w14:paraId="49F194AA" w14:textId="622DB679" w:rsidR="005523D8" w:rsidRPr="005523D8" w:rsidRDefault="005523D8" w:rsidP="005523D8">
      <w:pPr>
        <w:spacing w:before="13" w:line="260" w:lineRule="exact"/>
        <w:ind w:right="1"/>
        <w:jc w:val="both"/>
      </w:pPr>
      <w:r w:rsidRPr="005523D8">
        <w:t xml:space="preserve">Procijenjena vrijednost nabave iznosila je 657.036,81 eura bez </w:t>
      </w:r>
      <w:r w:rsidR="002D6951">
        <w:t>PDV</w:t>
      </w:r>
      <w:r w:rsidRPr="005523D8">
        <w:t>-a.</w:t>
      </w:r>
    </w:p>
    <w:p w14:paraId="53E11C51" w14:textId="70B73615" w:rsidR="005523D8" w:rsidRPr="005523D8" w:rsidRDefault="005523D8" w:rsidP="005523D8">
      <w:pPr>
        <w:spacing w:before="13" w:line="260" w:lineRule="exact"/>
        <w:ind w:right="1"/>
        <w:jc w:val="both"/>
      </w:pPr>
      <w:r w:rsidRPr="005523D8">
        <w:t>U roku za dostavu ponuda pristiglo je ukupno tri pon</w:t>
      </w:r>
      <w:r>
        <w:t>u</w:t>
      </w:r>
      <w:r w:rsidRPr="005523D8">
        <w:t>de. Nakon pregleda i ocjena pristiglih ponuda u</w:t>
      </w:r>
      <w:r>
        <w:t>t</w:t>
      </w:r>
      <w:r w:rsidRPr="005523D8">
        <w:t>vrđeno je da cijena najpovoljnije ponude prelazi procijenjenu vrijednost nabave te ista iznosi 877.386,19 eura bez P</w:t>
      </w:r>
      <w:r w:rsidR="002D6951">
        <w:t>DV</w:t>
      </w:r>
      <w:r w:rsidRPr="005523D8">
        <w:t>-a.</w:t>
      </w:r>
    </w:p>
    <w:p w14:paraId="7E08321A" w14:textId="6175EBEF" w:rsidR="005523D8" w:rsidRDefault="005523D8" w:rsidP="005523D8">
      <w:pPr>
        <w:spacing w:before="13" w:line="260" w:lineRule="exact"/>
        <w:ind w:right="1"/>
        <w:jc w:val="both"/>
      </w:pPr>
      <w:r w:rsidRPr="005523D8">
        <w:t xml:space="preserve">Sukladno </w:t>
      </w:r>
      <w:r>
        <w:t>č</w:t>
      </w:r>
      <w:r w:rsidRPr="005523D8">
        <w:t>lanku 298. st.9 Zakon</w:t>
      </w:r>
      <w:r>
        <w:t xml:space="preserve">a </w:t>
      </w:r>
      <w:r w:rsidRPr="005523D8">
        <w:t>o javnoj nabavi naručitelj je obvezan poništiti postupak javne nabave ako je cijena najpovoljnije ponude veća od procijenjene vrijednosti nabave, osim ako naručitelj ima ili će imati osigurana dodatna sredstva.</w:t>
      </w:r>
      <w:r>
        <w:t xml:space="preserve"> </w:t>
      </w:r>
    </w:p>
    <w:p w14:paraId="360C22E6" w14:textId="146AA3C0" w:rsidR="005523D8" w:rsidRPr="005523D8" w:rsidRDefault="005523D8" w:rsidP="005523D8">
      <w:pPr>
        <w:pStyle w:val="Default"/>
        <w:jc w:val="both"/>
      </w:pPr>
      <w:r w:rsidRPr="005523D8">
        <w:lastRenderedPageBreak/>
        <w:t xml:space="preserve">U Programu 1711 ISTRAŽIVANJE I ZAŠTITA KULTURNE BAŠTINE  </w:t>
      </w:r>
      <w:r>
        <w:t xml:space="preserve">otvara se nova </w:t>
      </w:r>
      <w:r w:rsidRPr="005523D8">
        <w:t>Aktivnost A171109 Program Potencijali zajednice</w:t>
      </w:r>
      <w:r>
        <w:rPr>
          <w:rFonts w:ascii="Arial" w:hAnsi="Arial" w:cs="Arial"/>
          <w:sz w:val="18"/>
          <w:szCs w:val="18"/>
        </w:rPr>
        <w:t xml:space="preserve"> </w:t>
      </w:r>
      <w:r w:rsidRPr="005523D8">
        <w:t>sa iznosom od</w:t>
      </w:r>
      <w:r>
        <w:rPr>
          <w:rFonts w:ascii="Arial" w:hAnsi="Arial" w:cs="Arial"/>
          <w:sz w:val="18"/>
          <w:szCs w:val="18"/>
        </w:rPr>
        <w:t xml:space="preserve"> </w:t>
      </w:r>
      <w:r w:rsidRPr="005523D8">
        <w:t>35.300,00 eura</w:t>
      </w:r>
      <w:r>
        <w:t xml:space="preserve"> </w:t>
      </w:r>
      <w:r w:rsidR="007C1649">
        <w:t>, a koji program se financira iz sredstava donacija u iznosu od 25.000,00 eura dok ostatak osigurava Grada Pag.</w:t>
      </w:r>
      <w:r w:rsidRPr="005523D8">
        <w:t xml:space="preserve">   </w:t>
      </w:r>
    </w:p>
    <w:p w14:paraId="028ABA33" w14:textId="7A287586" w:rsidR="00993227" w:rsidRPr="007C1649" w:rsidRDefault="00993227" w:rsidP="007C1649">
      <w:pPr>
        <w:pStyle w:val="Default"/>
        <w:jc w:val="both"/>
        <w:rPr>
          <w:rFonts w:ascii="Arial" w:hAnsi="Arial" w:cs="Arial"/>
          <w:sz w:val="18"/>
          <w:szCs w:val="18"/>
        </w:rPr>
      </w:pPr>
    </w:p>
    <w:p w14:paraId="10735261" w14:textId="77777777" w:rsidR="006F1B15" w:rsidRPr="00B42F62" w:rsidRDefault="006F1B15" w:rsidP="00B47A71">
      <w:pPr>
        <w:jc w:val="both"/>
      </w:pPr>
    </w:p>
    <w:sectPr w:rsidR="006F1B15" w:rsidRPr="00B42F62" w:rsidSect="00075290">
      <w:footerReference w:type="default" r:id="rId6"/>
      <w:pgSz w:w="11907" w:h="16839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F3BDCD" w14:textId="77777777" w:rsidR="00063015" w:rsidRDefault="00063015" w:rsidP="00391C62">
      <w:pPr>
        <w:spacing w:after="0" w:line="240" w:lineRule="auto"/>
      </w:pPr>
      <w:r>
        <w:separator/>
      </w:r>
    </w:p>
  </w:endnote>
  <w:endnote w:type="continuationSeparator" w:id="0">
    <w:p w14:paraId="690EC56F" w14:textId="77777777" w:rsidR="00063015" w:rsidRDefault="00063015" w:rsidP="00391C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90906796"/>
      <w:docPartObj>
        <w:docPartGallery w:val="Page Numbers (Bottom of Page)"/>
        <w:docPartUnique/>
      </w:docPartObj>
    </w:sdtPr>
    <w:sdtContent>
      <w:p w14:paraId="77971F24" w14:textId="41BC6198" w:rsidR="00075290" w:rsidRDefault="00075290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3F7401A5" w14:textId="77777777" w:rsidR="00DD12CC" w:rsidRDefault="00DD12C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BBB3A1" w14:textId="77777777" w:rsidR="00063015" w:rsidRDefault="00063015" w:rsidP="00391C62">
      <w:pPr>
        <w:spacing w:after="0" w:line="240" w:lineRule="auto"/>
      </w:pPr>
      <w:r>
        <w:separator/>
      </w:r>
    </w:p>
  </w:footnote>
  <w:footnote w:type="continuationSeparator" w:id="0">
    <w:p w14:paraId="40CE9DD1" w14:textId="77777777" w:rsidR="00063015" w:rsidRDefault="00063015" w:rsidP="00391C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069"/>
    <w:rsid w:val="0000216E"/>
    <w:rsid w:val="00004291"/>
    <w:rsid w:val="000144F2"/>
    <w:rsid w:val="000248EC"/>
    <w:rsid w:val="00036F7C"/>
    <w:rsid w:val="000447BC"/>
    <w:rsid w:val="00053719"/>
    <w:rsid w:val="00063015"/>
    <w:rsid w:val="00075290"/>
    <w:rsid w:val="000E708F"/>
    <w:rsid w:val="001B62B9"/>
    <w:rsid w:val="002030D7"/>
    <w:rsid w:val="002201A1"/>
    <w:rsid w:val="00233EB8"/>
    <w:rsid w:val="00234EB5"/>
    <w:rsid w:val="00266B6D"/>
    <w:rsid w:val="002B5365"/>
    <w:rsid w:val="002B765A"/>
    <w:rsid w:val="002D0CE6"/>
    <w:rsid w:val="002D6951"/>
    <w:rsid w:val="002F1081"/>
    <w:rsid w:val="00321F18"/>
    <w:rsid w:val="00333584"/>
    <w:rsid w:val="00337447"/>
    <w:rsid w:val="00347386"/>
    <w:rsid w:val="00357357"/>
    <w:rsid w:val="003741C3"/>
    <w:rsid w:val="00375B3C"/>
    <w:rsid w:val="00391C62"/>
    <w:rsid w:val="00395084"/>
    <w:rsid w:val="003B7BA0"/>
    <w:rsid w:val="00401015"/>
    <w:rsid w:val="004064CE"/>
    <w:rsid w:val="00422465"/>
    <w:rsid w:val="00450B6E"/>
    <w:rsid w:val="0046362F"/>
    <w:rsid w:val="004777F6"/>
    <w:rsid w:val="004F6633"/>
    <w:rsid w:val="005065C3"/>
    <w:rsid w:val="00543F62"/>
    <w:rsid w:val="005523D8"/>
    <w:rsid w:val="0055774D"/>
    <w:rsid w:val="005825B7"/>
    <w:rsid w:val="0058648D"/>
    <w:rsid w:val="005D347E"/>
    <w:rsid w:val="005F2F30"/>
    <w:rsid w:val="00634A5D"/>
    <w:rsid w:val="00665F83"/>
    <w:rsid w:val="00670718"/>
    <w:rsid w:val="00672ED3"/>
    <w:rsid w:val="006971AF"/>
    <w:rsid w:val="006B480E"/>
    <w:rsid w:val="006D5B86"/>
    <w:rsid w:val="006E55FF"/>
    <w:rsid w:val="006F1B15"/>
    <w:rsid w:val="00704B56"/>
    <w:rsid w:val="00736D08"/>
    <w:rsid w:val="007628BC"/>
    <w:rsid w:val="00785DE9"/>
    <w:rsid w:val="007A169C"/>
    <w:rsid w:val="007C1649"/>
    <w:rsid w:val="008101BB"/>
    <w:rsid w:val="0082467D"/>
    <w:rsid w:val="00845700"/>
    <w:rsid w:val="0084648A"/>
    <w:rsid w:val="00847369"/>
    <w:rsid w:val="008555D5"/>
    <w:rsid w:val="008B4408"/>
    <w:rsid w:val="008E424C"/>
    <w:rsid w:val="008E498B"/>
    <w:rsid w:val="008F2EF5"/>
    <w:rsid w:val="00911069"/>
    <w:rsid w:val="0091519A"/>
    <w:rsid w:val="00915E2B"/>
    <w:rsid w:val="00931010"/>
    <w:rsid w:val="00993227"/>
    <w:rsid w:val="009A5768"/>
    <w:rsid w:val="009D4F1D"/>
    <w:rsid w:val="009F7322"/>
    <w:rsid w:val="00A570A6"/>
    <w:rsid w:val="00A62221"/>
    <w:rsid w:val="00A76613"/>
    <w:rsid w:val="00AA7D44"/>
    <w:rsid w:val="00AE0592"/>
    <w:rsid w:val="00AF10B8"/>
    <w:rsid w:val="00B34D58"/>
    <w:rsid w:val="00B42F62"/>
    <w:rsid w:val="00B47A71"/>
    <w:rsid w:val="00B526D9"/>
    <w:rsid w:val="00B779C4"/>
    <w:rsid w:val="00BF3474"/>
    <w:rsid w:val="00BF6CAB"/>
    <w:rsid w:val="00C43A43"/>
    <w:rsid w:val="00C66C88"/>
    <w:rsid w:val="00CC1456"/>
    <w:rsid w:val="00CE1E91"/>
    <w:rsid w:val="00D11752"/>
    <w:rsid w:val="00D31013"/>
    <w:rsid w:val="00D50E1C"/>
    <w:rsid w:val="00DD12CC"/>
    <w:rsid w:val="00DE0195"/>
    <w:rsid w:val="00DF2BB3"/>
    <w:rsid w:val="00DF6CAA"/>
    <w:rsid w:val="00E040FA"/>
    <w:rsid w:val="00E16612"/>
    <w:rsid w:val="00ED6B78"/>
    <w:rsid w:val="00EF0BC3"/>
    <w:rsid w:val="00EF0CAA"/>
    <w:rsid w:val="00EF7D75"/>
    <w:rsid w:val="00F3744A"/>
    <w:rsid w:val="00F43E98"/>
    <w:rsid w:val="00F4424E"/>
    <w:rsid w:val="00F6095E"/>
    <w:rsid w:val="00F74CB9"/>
    <w:rsid w:val="00FA6B20"/>
    <w:rsid w:val="00FB22E1"/>
    <w:rsid w:val="00FE5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50493"/>
  <w15:chartTrackingRefBased/>
  <w15:docId w15:val="{56011DBF-6D9C-4D1B-AAF5-91BCCE7D9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1069"/>
    <w:rPr>
      <w:rFonts w:ascii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391C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91C62"/>
    <w:rPr>
      <w:rFonts w:ascii="Times New Roman" w:hAnsi="Times New Roman" w:cs="Times New Roman"/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391C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91C62"/>
    <w:rPr>
      <w:rFonts w:ascii="Times New Roman" w:hAnsi="Times New Roman" w:cs="Times New Roman"/>
      <w:sz w:val="24"/>
      <w:szCs w:val="24"/>
    </w:rPr>
  </w:style>
  <w:style w:type="character" w:styleId="Hiperveza">
    <w:name w:val="Hyperlink"/>
    <w:basedOn w:val="Zadanifontodlomka"/>
    <w:uiPriority w:val="99"/>
    <w:semiHidden/>
    <w:unhideWhenUsed/>
    <w:rsid w:val="002030D7"/>
    <w:rPr>
      <w:color w:val="0563C1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2030D7"/>
    <w:rPr>
      <w:color w:val="954F72"/>
      <w:u w:val="single"/>
    </w:rPr>
  </w:style>
  <w:style w:type="paragraph" w:customStyle="1" w:styleId="xl63">
    <w:name w:val="xl63"/>
    <w:basedOn w:val="Normal"/>
    <w:rsid w:val="002030D7"/>
    <w:pPr>
      <w:spacing w:before="100" w:beforeAutospacing="1" w:after="100" w:afterAutospacing="1" w:line="240" w:lineRule="auto"/>
    </w:pPr>
    <w:rPr>
      <w:rFonts w:eastAsia="Times New Roman"/>
      <w:b/>
      <w:bCs/>
      <w:lang w:eastAsia="hr-HR"/>
    </w:rPr>
  </w:style>
  <w:style w:type="paragraph" w:customStyle="1" w:styleId="xl64">
    <w:name w:val="xl64"/>
    <w:basedOn w:val="Normal"/>
    <w:rsid w:val="002030D7"/>
    <w:pPr>
      <w:spacing w:before="100" w:beforeAutospacing="1" w:after="100" w:afterAutospacing="1" w:line="240" w:lineRule="auto"/>
    </w:pPr>
    <w:rPr>
      <w:rFonts w:eastAsia="Times New Roman"/>
      <w:b/>
      <w:bCs/>
      <w:lang w:eastAsia="hr-HR"/>
    </w:rPr>
  </w:style>
  <w:style w:type="paragraph" w:customStyle="1" w:styleId="xl65">
    <w:name w:val="xl65"/>
    <w:basedOn w:val="Normal"/>
    <w:rsid w:val="002030D7"/>
    <w:pPr>
      <w:spacing w:before="100" w:beforeAutospacing="1" w:after="100" w:afterAutospacing="1" w:line="240" w:lineRule="auto"/>
    </w:pPr>
    <w:rPr>
      <w:rFonts w:eastAsia="Times New Roman"/>
      <w:b/>
      <w:bCs/>
      <w:lang w:eastAsia="hr-HR"/>
    </w:rPr>
  </w:style>
  <w:style w:type="paragraph" w:customStyle="1" w:styleId="xl66">
    <w:name w:val="xl66"/>
    <w:basedOn w:val="Normal"/>
    <w:rsid w:val="002030D7"/>
    <w:pPr>
      <w:shd w:val="clear" w:color="000000" w:fill="000080"/>
      <w:spacing w:before="100" w:beforeAutospacing="1" w:after="100" w:afterAutospacing="1" w:line="240" w:lineRule="auto"/>
    </w:pPr>
    <w:rPr>
      <w:rFonts w:eastAsia="Times New Roman"/>
      <w:b/>
      <w:bCs/>
      <w:color w:val="FFFFFF"/>
      <w:lang w:eastAsia="hr-HR"/>
    </w:rPr>
  </w:style>
  <w:style w:type="paragraph" w:customStyle="1" w:styleId="xl67">
    <w:name w:val="xl67"/>
    <w:basedOn w:val="Normal"/>
    <w:rsid w:val="002030D7"/>
    <w:pPr>
      <w:shd w:val="clear" w:color="000000" w:fill="000080"/>
      <w:spacing w:before="100" w:beforeAutospacing="1" w:after="100" w:afterAutospacing="1" w:line="240" w:lineRule="auto"/>
    </w:pPr>
    <w:rPr>
      <w:rFonts w:eastAsia="Times New Roman"/>
      <w:b/>
      <w:bCs/>
      <w:color w:val="FFFFFF"/>
      <w:lang w:eastAsia="hr-HR"/>
    </w:rPr>
  </w:style>
  <w:style w:type="paragraph" w:customStyle="1" w:styleId="xl68">
    <w:name w:val="xl68"/>
    <w:basedOn w:val="Normal"/>
    <w:rsid w:val="002030D7"/>
    <w:pPr>
      <w:shd w:val="clear" w:color="000000" w:fill="0000FF"/>
      <w:spacing w:before="100" w:beforeAutospacing="1" w:after="100" w:afterAutospacing="1" w:line="240" w:lineRule="auto"/>
    </w:pPr>
    <w:rPr>
      <w:rFonts w:eastAsia="Times New Roman"/>
      <w:b/>
      <w:bCs/>
      <w:color w:val="FFFFFF"/>
      <w:lang w:eastAsia="hr-HR"/>
    </w:rPr>
  </w:style>
  <w:style w:type="paragraph" w:customStyle="1" w:styleId="xl69">
    <w:name w:val="xl69"/>
    <w:basedOn w:val="Normal"/>
    <w:rsid w:val="002030D7"/>
    <w:pPr>
      <w:shd w:val="clear" w:color="000000" w:fill="0000FF"/>
      <w:spacing w:before="100" w:beforeAutospacing="1" w:after="100" w:afterAutospacing="1" w:line="240" w:lineRule="auto"/>
    </w:pPr>
    <w:rPr>
      <w:rFonts w:eastAsia="Times New Roman"/>
      <w:b/>
      <w:bCs/>
      <w:color w:val="FFFFFF"/>
      <w:lang w:eastAsia="hr-HR"/>
    </w:rPr>
  </w:style>
  <w:style w:type="paragraph" w:customStyle="1" w:styleId="xl70">
    <w:name w:val="xl70"/>
    <w:basedOn w:val="Normal"/>
    <w:rsid w:val="002030D7"/>
    <w:pPr>
      <w:shd w:val="clear" w:color="000000" w:fill="3366FF"/>
      <w:spacing w:before="100" w:beforeAutospacing="1" w:after="100" w:afterAutospacing="1" w:line="240" w:lineRule="auto"/>
    </w:pPr>
    <w:rPr>
      <w:rFonts w:eastAsia="Times New Roman"/>
      <w:b/>
      <w:bCs/>
      <w:color w:val="FFFFFF"/>
      <w:lang w:eastAsia="hr-HR"/>
    </w:rPr>
  </w:style>
  <w:style w:type="paragraph" w:customStyle="1" w:styleId="xl71">
    <w:name w:val="xl71"/>
    <w:basedOn w:val="Normal"/>
    <w:rsid w:val="002030D7"/>
    <w:pPr>
      <w:shd w:val="clear" w:color="000000" w:fill="3366FF"/>
      <w:spacing w:before="100" w:beforeAutospacing="1" w:after="100" w:afterAutospacing="1" w:line="240" w:lineRule="auto"/>
    </w:pPr>
    <w:rPr>
      <w:rFonts w:eastAsia="Times New Roman"/>
      <w:b/>
      <w:bCs/>
      <w:color w:val="FFFFFF"/>
      <w:lang w:eastAsia="hr-HR"/>
    </w:rPr>
  </w:style>
  <w:style w:type="paragraph" w:customStyle="1" w:styleId="xl72">
    <w:name w:val="xl72"/>
    <w:basedOn w:val="Normal"/>
    <w:rsid w:val="002030D7"/>
    <w:pPr>
      <w:shd w:val="clear" w:color="000000" w:fill="9999FF"/>
      <w:spacing w:before="100" w:beforeAutospacing="1" w:after="100" w:afterAutospacing="1" w:line="240" w:lineRule="auto"/>
    </w:pPr>
    <w:rPr>
      <w:rFonts w:eastAsia="Times New Roman"/>
      <w:b/>
      <w:bCs/>
      <w:color w:val="000000"/>
      <w:lang w:eastAsia="hr-HR"/>
    </w:rPr>
  </w:style>
  <w:style w:type="paragraph" w:customStyle="1" w:styleId="xl73">
    <w:name w:val="xl73"/>
    <w:basedOn w:val="Normal"/>
    <w:rsid w:val="002030D7"/>
    <w:pPr>
      <w:shd w:val="clear" w:color="000000" w:fill="9999FF"/>
      <w:spacing w:before="100" w:beforeAutospacing="1" w:after="100" w:afterAutospacing="1" w:line="240" w:lineRule="auto"/>
    </w:pPr>
    <w:rPr>
      <w:rFonts w:eastAsia="Times New Roman"/>
      <w:b/>
      <w:bCs/>
      <w:color w:val="000000"/>
      <w:lang w:eastAsia="hr-HR"/>
    </w:rPr>
  </w:style>
  <w:style w:type="paragraph" w:customStyle="1" w:styleId="xl74">
    <w:name w:val="xl74"/>
    <w:basedOn w:val="Normal"/>
    <w:rsid w:val="002030D7"/>
    <w:pPr>
      <w:shd w:val="clear" w:color="000000" w:fill="CCCCFF"/>
      <w:spacing w:before="100" w:beforeAutospacing="1" w:after="100" w:afterAutospacing="1" w:line="240" w:lineRule="auto"/>
    </w:pPr>
    <w:rPr>
      <w:rFonts w:eastAsia="Times New Roman"/>
      <w:b/>
      <w:bCs/>
      <w:color w:val="000000"/>
      <w:lang w:eastAsia="hr-HR"/>
    </w:rPr>
  </w:style>
  <w:style w:type="paragraph" w:customStyle="1" w:styleId="xl75">
    <w:name w:val="xl75"/>
    <w:basedOn w:val="Normal"/>
    <w:rsid w:val="002030D7"/>
    <w:pPr>
      <w:shd w:val="clear" w:color="000000" w:fill="CCCCFF"/>
      <w:spacing w:before="100" w:beforeAutospacing="1" w:after="100" w:afterAutospacing="1" w:line="240" w:lineRule="auto"/>
    </w:pPr>
    <w:rPr>
      <w:rFonts w:eastAsia="Times New Roman"/>
      <w:b/>
      <w:bCs/>
      <w:color w:val="000000"/>
      <w:lang w:eastAsia="hr-HR"/>
    </w:rPr>
  </w:style>
  <w:style w:type="paragraph" w:customStyle="1" w:styleId="xl76">
    <w:name w:val="xl76"/>
    <w:basedOn w:val="Normal"/>
    <w:rsid w:val="002030D7"/>
    <w:pPr>
      <w:shd w:val="clear" w:color="000000" w:fill="FFFF99"/>
      <w:spacing w:before="100" w:beforeAutospacing="1" w:after="100" w:afterAutospacing="1" w:line="240" w:lineRule="auto"/>
    </w:pPr>
    <w:rPr>
      <w:rFonts w:eastAsia="Times New Roman"/>
      <w:b/>
      <w:bCs/>
      <w:color w:val="000000"/>
      <w:lang w:eastAsia="hr-HR"/>
    </w:rPr>
  </w:style>
  <w:style w:type="paragraph" w:customStyle="1" w:styleId="xl77">
    <w:name w:val="xl77"/>
    <w:basedOn w:val="Normal"/>
    <w:rsid w:val="002030D7"/>
    <w:pPr>
      <w:shd w:val="clear" w:color="000000" w:fill="FFFF99"/>
      <w:spacing w:before="100" w:beforeAutospacing="1" w:after="100" w:afterAutospacing="1" w:line="240" w:lineRule="auto"/>
    </w:pPr>
    <w:rPr>
      <w:rFonts w:eastAsia="Times New Roman"/>
      <w:b/>
      <w:bCs/>
      <w:color w:val="000000"/>
      <w:lang w:eastAsia="hr-HR"/>
    </w:rPr>
  </w:style>
  <w:style w:type="paragraph" w:customStyle="1" w:styleId="msonormal0">
    <w:name w:val="msonormal"/>
    <w:basedOn w:val="Normal"/>
    <w:rsid w:val="00CE1E91"/>
    <w:pPr>
      <w:spacing w:before="100" w:beforeAutospacing="1" w:after="100" w:afterAutospacing="1" w:line="240" w:lineRule="auto"/>
    </w:pPr>
    <w:rPr>
      <w:rFonts w:eastAsia="Times New Roman"/>
      <w:lang w:eastAsia="hr-HR"/>
    </w:rPr>
  </w:style>
  <w:style w:type="paragraph" w:customStyle="1" w:styleId="xl78">
    <w:name w:val="xl78"/>
    <w:basedOn w:val="Normal"/>
    <w:rsid w:val="00CE1E91"/>
    <w:pPr>
      <w:shd w:val="clear" w:color="000000" w:fill="CCFFCC"/>
      <w:spacing w:before="100" w:beforeAutospacing="1" w:after="100" w:afterAutospacing="1" w:line="240" w:lineRule="auto"/>
    </w:pPr>
    <w:rPr>
      <w:rFonts w:eastAsia="Times New Roman"/>
      <w:b/>
      <w:bCs/>
      <w:color w:val="000000"/>
      <w:lang w:eastAsia="hr-HR"/>
    </w:rPr>
  </w:style>
  <w:style w:type="paragraph" w:customStyle="1" w:styleId="xl79">
    <w:name w:val="xl79"/>
    <w:basedOn w:val="Normal"/>
    <w:rsid w:val="00CE1E91"/>
    <w:pPr>
      <w:shd w:val="clear" w:color="000000" w:fill="CCFFCC"/>
      <w:spacing w:before="100" w:beforeAutospacing="1" w:after="100" w:afterAutospacing="1" w:line="240" w:lineRule="auto"/>
    </w:pPr>
    <w:rPr>
      <w:rFonts w:eastAsia="Times New Roman"/>
      <w:b/>
      <w:bCs/>
      <w:color w:val="000000"/>
      <w:lang w:eastAsia="hr-HR"/>
    </w:rPr>
  </w:style>
  <w:style w:type="paragraph" w:customStyle="1" w:styleId="Default">
    <w:name w:val="Default"/>
    <w:rsid w:val="00F374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752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752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2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5</Pages>
  <Words>1882</Words>
  <Characters>10729</Characters>
  <Application>Microsoft Office Word</Application>
  <DocSecurity>0</DocSecurity>
  <Lines>89</Lines>
  <Paragraphs>25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Diogen Šuljić</dc:creator>
  <cp:keywords/>
  <dc:description/>
  <cp:lastModifiedBy>Diogen Šuljić</cp:lastModifiedBy>
  <cp:revision>9</cp:revision>
  <cp:lastPrinted>2025-07-23T04:55:00Z</cp:lastPrinted>
  <dcterms:created xsi:type="dcterms:W3CDTF">2025-07-22T14:01:00Z</dcterms:created>
  <dcterms:modified xsi:type="dcterms:W3CDTF">2025-08-08T12:43:00Z</dcterms:modified>
</cp:coreProperties>
</file>